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2F7" w14:textId="38662B10" w:rsidR="0049328C" w:rsidRPr="0049328C" w:rsidRDefault="0049328C" w:rsidP="0049328C">
      <w:pPr>
        <w:spacing w:before="720" w:after="240" w:line="276" w:lineRule="auto"/>
        <w:jc w:val="center"/>
        <w:rPr>
          <w:rFonts w:asciiTheme="majorHAnsi" w:hAnsiTheme="majorHAnsi"/>
          <w:sz w:val="32"/>
          <w:szCs w:val="32"/>
          <w:lang w:val="de-DE"/>
        </w:rPr>
      </w:pPr>
      <w:r>
        <w:rPr>
          <w:rFonts w:asciiTheme="majorHAnsi" w:hAnsiTheme="majorHAnsi"/>
          <w:noProof/>
          <w:sz w:val="40"/>
          <w:szCs w:val="40"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6290" wp14:editId="428EE6F8">
                <wp:simplePos x="0" y="0"/>
                <wp:positionH relativeFrom="column">
                  <wp:posOffset>457200</wp:posOffset>
                </wp:positionH>
                <wp:positionV relativeFrom="paragraph">
                  <wp:posOffset>868045</wp:posOffset>
                </wp:positionV>
                <wp:extent cx="5029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824059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68.35pt" to="6in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" strokecolor="black [3213]" strokeweight="1.5pt"/>
            </w:pict>
          </mc:Fallback>
        </mc:AlternateContent>
      </w:r>
      <w:r w:rsidRPr="0049328C">
        <w:rPr>
          <w:rFonts w:asciiTheme="majorHAnsi" w:hAnsiTheme="majorHAnsi"/>
          <w:sz w:val="32"/>
          <w:szCs w:val="32"/>
          <w:lang w:val="de-DE"/>
        </w:rPr>
        <w:t>Bachelor-Seminar</w:t>
      </w:r>
    </w:p>
    <w:p w14:paraId="1BCBD925" w14:textId="47BCFDEC" w:rsidR="00C4510F" w:rsidRPr="00E77684" w:rsidRDefault="0049328C" w:rsidP="0049328C">
      <w:pPr>
        <w:spacing w:before="120" w:line="276" w:lineRule="auto"/>
        <w:jc w:val="center"/>
        <w:rPr>
          <w:rFonts w:asciiTheme="majorHAnsi" w:hAnsiTheme="majorHAnsi"/>
          <w:sz w:val="40"/>
          <w:szCs w:val="40"/>
          <w:lang w:val="de-DE"/>
        </w:rPr>
      </w:pPr>
      <w:r w:rsidRPr="0049328C">
        <w:rPr>
          <w:rFonts w:asciiTheme="majorHAnsi" w:hAnsiTheme="majorHAnsi"/>
          <w:sz w:val="40"/>
          <w:szCs w:val="40"/>
          <w:lang w:val="de-DE"/>
        </w:rPr>
        <w:t xml:space="preserve"> </w:t>
      </w:r>
      <w:r w:rsidRPr="00E77684">
        <w:rPr>
          <w:rFonts w:asciiTheme="majorHAnsi" w:hAnsiTheme="majorHAnsi"/>
          <w:sz w:val="40"/>
          <w:szCs w:val="40"/>
          <w:lang w:val="de-DE"/>
        </w:rPr>
        <w:t>Vertrags</w:t>
      </w:r>
      <w:r w:rsidRPr="00E77684">
        <w:rPr>
          <w:rFonts w:ascii="Calibri" w:hAnsi="Calibri"/>
          <w:sz w:val="40"/>
          <w:szCs w:val="40"/>
          <w:lang w:val="de-DE"/>
        </w:rPr>
        <w:t>ö</w:t>
      </w:r>
      <w:r w:rsidRPr="00E77684">
        <w:rPr>
          <w:rFonts w:asciiTheme="majorHAnsi" w:hAnsiTheme="majorHAnsi"/>
          <w:sz w:val="40"/>
          <w:szCs w:val="40"/>
          <w:lang w:val="de-DE"/>
        </w:rPr>
        <w:t>konomik</w:t>
      </w:r>
      <w:r>
        <w:rPr>
          <w:rFonts w:asciiTheme="majorHAnsi" w:hAnsiTheme="majorHAnsi"/>
          <w:sz w:val="40"/>
          <w:szCs w:val="40"/>
          <w:lang w:val="de-DE"/>
        </w:rPr>
        <w:t xml:space="preserve"> &amp; Verhalten</w:t>
      </w:r>
      <w:r w:rsidR="00C4510F" w:rsidRPr="00E77684">
        <w:rPr>
          <w:rFonts w:asciiTheme="majorHAnsi" w:hAnsiTheme="majorHAnsi"/>
          <w:sz w:val="40"/>
          <w:szCs w:val="40"/>
          <w:lang w:val="de-DE"/>
        </w:rPr>
        <w:t xml:space="preserve">: </w:t>
      </w:r>
    </w:p>
    <w:p w14:paraId="74E53208" w14:textId="76D1194C" w:rsidR="007E5C87" w:rsidRPr="00E77684" w:rsidRDefault="00E77684" w:rsidP="00E77684">
      <w:pPr>
        <w:spacing w:after="480" w:line="276" w:lineRule="auto"/>
        <w:jc w:val="center"/>
        <w:rPr>
          <w:rFonts w:asciiTheme="majorHAnsi" w:hAnsiTheme="majorHAnsi"/>
          <w:sz w:val="48"/>
          <w:szCs w:val="48"/>
          <w:lang w:val="de-DE"/>
        </w:rPr>
      </w:pPr>
      <w:r>
        <w:rPr>
          <w:rFonts w:asciiTheme="majorHAnsi" w:hAnsiTheme="majorHAnsi"/>
          <w:noProof/>
          <w:sz w:val="40"/>
          <w:szCs w:val="40"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108" wp14:editId="37FF16A4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5029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 cap="flat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0F1B07B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9.7pt" to="6in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" strokecolor="black [3213]" strokeweight="1.5pt"/>
            </w:pict>
          </mc:Fallback>
        </mc:AlternateContent>
      </w:r>
      <w:r w:rsidR="0049328C">
        <w:rPr>
          <w:rFonts w:asciiTheme="majorHAnsi" w:hAnsiTheme="majorHAnsi"/>
          <w:sz w:val="40"/>
          <w:szCs w:val="40"/>
          <w:lang w:val="de-DE"/>
        </w:rPr>
        <w:t>Experimentelle Befunde</w:t>
      </w:r>
    </w:p>
    <w:p w14:paraId="1510ACE7" w14:textId="62278603" w:rsidR="007E5C87" w:rsidRPr="00E77684" w:rsidRDefault="007E5C87" w:rsidP="00E77684">
      <w:pPr>
        <w:tabs>
          <w:tab w:val="right" w:pos="9214"/>
        </w:tabs>
        <w:spacing w:line="276" w:lineRule="auto"/>
        <w:rPr>
          <w:rFonts w:asciiTheme="majorHAnsi" w:hAnsiTheme="majorHAnsi"/>
          <w:sz w:val="26"/>
          <w:szCs w:val="26"/>
          <w:lang w:val="de-DE"/>
        </w:rPr>
      </w:pPr>
      <w:r w:rsidRPr="00E77684">
        <w:rPr>
          <w:rFonts w:asciiTheme="majorHAnsi" w:hAnsiTheme="majorHAnsi"/>
          <w:sz w:val="26"/>
          <w:szCs w:val="26"/>
          <w:lang w:val="de-DE"/>
        </w:rPr>
        <w:t>Sven Hoeppner</w:t>
      </w:r>
      <w:r w:rsidRPr="00E77684">
        <w:rPr>
          <w:rFonts w:asciiTheme="majorHAnsi" w:hAnsiTheme="majorHAnsi"/>
          <w:sz w:val="26"/>
          <w:szCs w:val="26"/>
          <w:lang w:val="de-DE"/>
        </w:rPr>
        <w:tab/>
      </w:r>
      <w:r w:rsidR="007B21B5" w:rsidRPr="007B21B5">
        <w:rPr>
          <w:rFonts w:asciiTheme="majorHAnsi" w:hAnsiTheme="majorHAnsi"/>
          <w:sz w:val="26"/>
          <w:szCs w:val="26"/>
          <w:lang w:val="de-DE"/>
        </w:rPr>
        <w:t>April</w:t>
      </w:r>
      <w:r w:rsidR="00E77684" w:rsidRPr="007B21B5">
        <w:rPr>
          <w:rFonts w:asciiTheme="majorHAnsi" w:hAnsiTheme="majorHAnsi"/>
          <w:sz w:val="26"/>
          <w:szCs w:val="26"/>
          <w:lang w:val="de-DE"/>
        </w:rPr>
        <w:t xml:space="preserve"> - </w:t>
      </w:r>
      <w:r w:rsidR="007B21B5" w:rsidRPr="007B21B5">
        <w:rPr>
          <w:rFonts w:asciiTheme="majorHAnsi" w:hAnsiTheme="majorHAnsi"/>
          <w:sz w:val="26"/>
          <w:szCs w:val="26"/>
          <w:lang w:val="de-DE"/>
        </w:rPr>
        <w:t>August</w:t>
      </w:r>
      <w:r w:rsidRPr="00E77684">
        <w:rPr>
          <w:rFonts w:asciiTheme="majorHAnsi" w:hAnsiTheme="majorHAnsi"/>
          <w:sz w:val="26"/>
          <w:szCs w:val="26"/>
          <w:lang w:val="de-DE"/>
        </w:rPr>
        <w:t xml:space="preserve"> 2016</w:t>
      </w:r>
    </w:p>
    <w:p w14:paraId="3BC5D650" w14:textId="35C83C80" w:rsidR="007E5C87" w:rsidRPr="00E77684" w:rsidRDefault="007E5C87" w:rsidP="00E77684">
      <w:pPr>
        <w:spacing w:line="276" w:lineRule="auto"/>
        <w:rPr>
          <w:rFonts w:asciiTheme="majorHAnsi" w:hAnsiTheme="majorHAnsi"/>
          <w:lang w:val="de-DE"/>
        </w:rPr>
      </w:pPr>
    </w:p>
    <w:p w14:paraId="2FBB7DFA" w14:textId="77777777" w:rsidR="007E5C87" w:rsidRPr="00E77684" w:rsidRDefault="007E5C87" w:rsidP="00E77684">
      <w:pPr>
        <w:spacing w:line="276" w:lineRule="auto"/>
        <w:rPr>
          <w:rFonts w:asciiTheme="majorHAnsi" w:hAnsiTheme="majorHAnsi"/>
          <w:lang w:val="de-DE"/>
        </w:rPr>
      </w:pPr>
    </w:p>
    <w:p w14:paraId="46DC9B2A" w14:textId="77777777" w:rsidR="007E5C87" w:rsidRDefault="007E5C87" w:rsidP="00E77684">
      <w:pPr>
        <w:spacing w:line="276" w:lineRule="auto"/>
        <w:rPr>
          <w:rFonts w:asciiTheme="majorHAnsi" w:hAnsiTheme="majorHAnsi"/>
          <w:lang w:val="de-DE"/>
        </w:rPr>
      </w:pPr>
    </w:p>
    <w:p w14:paraId="7C68AC93" w14:textId="00F080D9" w:rsidR="005A6267" w:rsidRPr="005A6267" w:rsidRDefault="005A6267" w:rsidP="00E77684">
      <w:pPr>
        <w:spacing w:line="276" w:lineRule="auto"/>
        <w:rPr>
          <w:rFonts w:asciiTheme="majorHAnsi" w:hAnsiTheme="majorHAnsi"/>
          <w:b/>
          <w:color w:val="4A657D"/>
          <w:sz w:val="28"/>
          <w:szCs w:val="28"/>
          <w:lang w:val="de-DE"/>
        </w:rPr>
      </w:pPr>
      <w:r w:rsidRPr="005A6267">
        <w:rPr>
          <w:rFonts w:asciiTheme="majorHAnsi" w:hAnsiTheme="majorHAnsi"/>
          <w:b/>
          <w:color w:val="4A657D"/>
          <w:sz w:val="28"/>
          <w:szCs w:val="28"/>
          <w:lang w:val="de-DE"/>
        </w:rPr>
        <w:t>Überblick, Inhalt &amp; Zweck</w:t>
      </w:r>
    </w:p>
    <w:p w14:paraId="52546818" w14:textId="027303EC" w:rsidR="00A113D5" w:rsidRDefault="00A113D5" w:rsidP="00E77684">
      <w:pPr>
        <w:spacing w:after="120" w:line="276" w:lineRule="auto"/>
        <w:jc w:val="both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>In diesem Seminar diskutieren die Teilnehmer ausgewählte Artikel auf der Schnittstelle zw</w:t>
      </w:r>
      <w:r>
        <w:rPr>
          <w:rFonts w:asciiTheme="majorHAnsi" w:hAnsiTheme="majorHAnsi"/>
          <w:sz w:val="24"/>
          <w:lang w:val="de-DE"/>
        </w:rPr>
        <w:t>i</w:t>
      </w:r>
      <w:r>
        <w:rPr>
          <w:rFonts w:asciiTheme="majorHAnsi" w:hAnsiTheme="majorHAnsi"/>
          <w:sz w:val="24"/>
          <w:lang w:val="de-DE"/>
        </w:rPr>
        <w:t>schen ökonomischer Vertragstheorie, der Rechtsökonomik von Verträgen und Verhaltensök</w:t>
      </w:r>
      <w:r>
        <w:rPr>
          <w:rFonts w:asciiTheme="majorHAnsi" w:hAnsiTheme="majorHAnsi"/>
          <w:sz w:val="24"/>
          <w:lang w:val="de-DE"/>
        </w:rPr>
        <w:t>o</w:t>
      </w:r>
      <w:r>
        <w:rPr>
          <w:rFonts w:asciiTheme="majorHAnsi" w:hAnsiTheme="majorHAnsi"/>
          <w:sz w:val="24"/>
          <w:lang w:val="de-DE"/>
        </w:rPr>
        <w:t>nomik. Dabei stehen weniger theoretische Modelle, sondern vielmehr darauf aufbauende e</w:t>
      </w:r>
      <w:r>
        <w:rPr>
          <w:rFonts w:asciiTheme="majorHAnsi" w:hAnsiTheme="majorHAnsi"/>
          <w:sz w:val="24"/>
          <w:lang w:val="de-DE"/>
        </w:rPr>
        <w:t>x</w:t>
      </w:r>
      <w:r>
        <w:rPr>
          <w:rFonts w:asciiTheme="majorHAnsi" w:hAnsiTheme="majorHAnsi"/>
          <w:sz w:val="24"/>
          <w:lang w:val="de-DE"/>
        </w:rPr>
        <w:t>perimentelle Befunde im Mittelpunkt.</w:t>
      </w:r>
    </w:p>
    <w:p w14:paraId="116A1F5F" w14:textId="731ACA17" w:rsidR="00A113D5" w:rsidRDefault="00A113D5" w:rsidP="00E77684">
      <w:pPr>
        <w:spacing w:after="120" w:line="276" w:lineRule="auto"/>
        <w:jc w:val="both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Inhaltlich </w:t>
      </w:r>
      <w:r w:rsidR="0062794C">
        <w:rPr>
          <w:rFonts w:asciiTheme="majorHAnsi" w:hAnsiTheme="majorHAnsi"/>
          <w:sz w:val="24"/>
          <w:lang w:val="de-DE"/>
        </w:rPr>
        <w:t>sind die Artikel in</w:t>
      </w:r>
      <w:r>
        <w:rPr>
          <w:rFonts w:asciiTheme="majorHAnsi" w:hAnsiTheme="majorHAnsi"/>
          <w:sz w:val="24"/>
          <w:lang w:val="de-DE"/>
        </w:rPr>
        <w:t xml:space="preserve"> vier Hauptthemengebiete </w:t>
      </w:r>
      <w:r w:rsidR="0062794C">
        <w:rPr>
          <w:rFonts w:asciiTheme="majorHAnsi" w:hAnsiTheme="majorHAnsi"/>
          <w:sz w:val="24"/>
          <w:lang w:val="de-DE"/>
        </w:rPr>
        <w:t>gegliedert</w:t>
      </w:r>
      <w:r>
        <w:rPr>
          <w:rFonts w:asciiTheme="majorHAnsi" w:hAnsiTheme="majorHAnsi"/>
          <w:sz w:val="24"/>
          <w:lang w:val="de-DE"/>
        </w:rPr>
        <w:t>: (1) Verhaltenseffekte von Ve</w:t>
      </w:r>
      <w:r>
        <w:rPr>
          <w:rFonts w:asciiTheme="majorHAnsi" w:hAnsiTheme="majorHAnsi"/>
          <w:sz w:val="24"/>
          <w:lang w:val="de-DE"/>
        </w:rPr>
        <w:t>r</w:t>
      </w:r>
      <w:r>
        <w:rPr>
          <w:rFonts w:asciiTheme="majorHAnsi" w:hAnsiTheme="majorHAnsi"/>
          <w:sz w:val="24"/>
          <w:lang w:val="de-DE"/>
        </w:rPr>
        <w:t xml:space="preserve">sprechungen; (2) der große Bereich des Vertragsdesigns; (3) Wirkungen von spezifischen Rechtsmitteln; und (4) vertragliche Neuverhandlungen. Inhaltlich ist das </w:t>
      </w:r>
      <w:r w:rsidR="00DF4F1F">
        <w:rPr>
          <w:rFonts w:asciiTheme="majorHAnsi" w:hAnsiTheme="majorHAnsi"/>
          <w:sz w:val="24"/>
          <w:lang w:val="de-DE"/>
        </w:rPr>
        <w:t>Seminar damit mehr nach dem Lebenszyklus eines Vertrages gegliedert.</w:t>
      </w:r>
    </w:p>
    <w:p w14:paraId="30292E66" w14:textId="76908C2E" w:rsidR="003F0D9F" w:rsidRPr="0062794C" w:rsidRDefault="0062794C" w:rsidP="00E77684">
      <w:pPr>
        <w:spacing w:after="120" w:line="276" w:lineRule="auto"/>
        <w:jc w:val="both"/>
        <w:rPr>
          <w:rFonts w:asciiTheme="majorHAnsi" w:hAnsiTheme="majorHAnsi"/>
          <w:sz w:val="24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Zweck des Seminars ist es, die Teilnehmer auf das erfolgreiche Schreiben ihrer Bachelorarbeit vorzubereiten. Dabei kommt es </w:t>
      </w:r>
      <w:r w:rsidR="000B7DC6">
        <w:rPr>
          <w:rFonts w:asciiTheme="majorHAnsi" w:hAnsiTheme="majorHAnsi"/>
          <w:sz w:val="24"/>
          <w:lang w:val="de-DE"/>
        </w:rPr>
        <w:t>für</w:t>
      </w:r>
      <w:r w:rsidR="003F0D9F">
        <w:rPr>
          <w:rFonts w:asciiTheme="majorHAnsi" w:hAnsiTheme="majorHAnsi"/>
          <w:sz w:val="24"/>
          <w:lang w:val="de-DE"/>
        </w:rPr>
        <w:t xml:space="preserve"> die Kandidaten </w:t>
      </w:r>
      <w:r>
        <w:rPr>
          <w:rFonts w:asciiTheme="majorHAnsi" w:hAnsiTheme="majorHAnsi"/>
          <w:sz w:val="24"/>
          <w:lang w:val="de-DE"/>
        </w:rPr>
        <w:t xml:space="preserve">darauf an, </w:t>
      </w:r>
      <w:r w:rsidR="003F0D9F">
        <w:rPr>
          <w:rFonts w:asciiTheme="majorHAnsi" w:hAnsiTheme="majorHAnsi"/>
          <w:sz w:val="24"/>
          <w:lang w:val="de-DE"/>
        </w:rPr>
        <w:t xml:space="preserve">bestehende </w:t>
      </w:r>
      <w:r>
        <w:rPr>
          <w:rFonts w:asciiTheme="majorHAnsi" w:hAnsiTheme="majorHAnsi"/>
          <w:sz w:val="24"/>
          <w:lang w:val="de-DE"/>
        </w:rPr>
        <w:t>Forschungsergebni</w:t>
      </w:r>
      <w:r>
        <w:rPr>
          <w:rFonts w:asciiTheme="majorHAnsi" w:hAnsiTheme="majorHAnsi"/>
          <w:sz w:val="24"/>
          <w:lang w:val="de-DE"/>
        </w:rPr>
        <w:t>s</w:t>
      </w:r>
      <w:r>
        <w:rPr>
          <w:rFonts w:asciiTheme="majorHAnsi" w:hAnsiTheme="majorHAnsi"/>
          <w:sz w:val="24"/>
          <w:lang w:val="de-DE"/>
        </w:rPr>
        <w:t>se aufzunehmen</w:t>
      </w:r>
      <w:r w:rsidR="003F0D9F">
        <w:rPr>
          <w:rFonts w:asciiTheme="majorHAnsi" w:hAnsiTheme="majorHAnsi"/>
          <w:sz w:val="24"/>
          <w:lang w:val="de-DE"/>
        </w:rPr>
        <w:t>, diese in einen Themenrahmen einzubetten, sie zu diskutieren und schließlich zu kritisieren. Die dazu notwendigen Fähigkeiten sollen vermittelt und eingeübt werden.</w:t>
      </w:r>
    </w:p>
    <w:p w14:paraId="3462FE5A" w14:textId="77777777" w:rsidR="0062794C" w:rsidRDefault="0062794C" w:rsidP="00E77684">
      <w:pPr>
        <w:spacing w:after="120" w:line="276" w:lineRule="auto"/>
        <w:jc w:val="both"/>
        <w:rPr>
          <w:rFonts w:asciiTheme="majorHAnsi" w:hAnsiTheme="majorHAnsi"/>
          <w:sz w:val="24"/>
          <w:lang w:val="de-DE"/>
        </w:rPr>
      </w:pPr>
    </w:p>
    <w:p w14:paraId="4B61ED5D" w14:textId="25D98079" w:rsidR="005A6267" w:rsidRPr="005A6267" w:rsidRDefault="00DF4F1F" w:rsidP="00E77684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b/>
          <w:color w:val="4A657D"/>
          <w:sz w:val="28"/>
          <w:szCs w:val="28"/>
          <w:lang w:val="de-DE"/>
        </w:rPr>
        <w:t xml:space="preserve">Struktur und </w:t>
      </w:r>
      <w:r w:rsidR="005A6267" w:rsidRPr="005A6267">
        <w:rPr>
          <w:rFonts w:asciiTheme="majorHAnsi" w:hAnsiTheme="majorHAnsi"/>
          <w:b/>
          <w:color w:val="4A657D"/>
          <w:sz w:val="28"/>
          <w:szCs w:val="28"/>
          <w:lang w:val="de-DE"/>
        </w:rPr>
        <w:t>Termine</w:t>
      </w:r>
    </w:p>
    <w:p w14:paraId="0C34293F" w14:textId="06EEACB3" w:rsidR="00804696" w:rsidRPr="00804696" w:rsidRDefault="000B7DC6" w:rsidP="00E77684">
      <w:pPr>
        <w:spacing w:after="120" w:line="276" w:lineRule="auto"/>
        <w:jc w:val="both"/>
        <w:rPr>
          <w:rFonts w:asciiTheme="majorHAnsi" w:hAnsiTheme="majorHAnsi"/>
        </w:rPr>
      </w:pPr>
      <w:r w:rsidRPr="0063226B">
        <w:rPr>
          <w:rFonts w:asciiTheme="majorHAnsi" w:hAnsiTheme="majorHAnsi"/>
        </w:rPr>
        <w:t>29</w:t>
      </w:r>
      <w:r w:rsidR="00BA704E" w:rsidRPr="0063226B">
        <w:rPr>
          <w:rFonts w:asciiTheme="majorHAnsi" w:hAnsiTheme="majorHAnsi"/>
        </w:rPr>
        <w:t>. April</w:t>
      </w:r>
      <w:r w:rsidR="007B21B5" w:rsidRPr="0063226B">
        <w:rPr>
          <w:rFonts w:asciiTheme="majorHAnsi" w:hAnsiTheme="majorHAnsi"/>
        </w:rPr>
        <w:t xml:space="preserve"> 2016:</w:t>
      </w:r>
      <w:r w:rsidR="007B21B5" w:rsidRPr="0063226B">
        <w:rPr>
          <w:rFonts w:asciiTheme="majorHAnsi" w:hAnsiTheme="majorHAnsi"/>
          <w:color w:val="FF0000"/>
        </w:rPr>
        <w:t xml:space="preserve"> </w:t>
      </w:r>
      <w:r w:rsidR="007B21B5" w:rsidRPr="0063226B">
        <w:rPr>
          <w:rFonts w:asciiTheme="majorHAnsi" w:hAnsiTheme="majorHAnsi"/>
        </w:rPr>
        <w:t xml:space="preserve">Kick-Off Meeting, </w:t>
      </w:r>
      <w:proofErr w:type="spellStart"/>
      <w:r w:rsidR="00E145F8" w:rsidRPr="003F3A18">
        <w:rPr>
          <w:rFonts w:asciiTheme="majorHAnsi" w:hAnsiTheme="majorHAnsi"/>
        </w:rPr>
        <w:t>Seminargebäude</w:t>
      </w:r>
      <w:proofErr w:type="spellEnd"/>
      <w:r w:rsidR="00E145F8" w:rsidRPr="003F3A18">
        <w:rPr>
          <w:rFonts w:asciiTheme="majorHAnsi" w:hAnsiTheme="majorHAnsi"/>
        </w:rPr>
        <w:t>, S11</w:t>
      </w:r>
      <w:r w:rsidR="00E145F8" w:rsidRPr="00E145F8">
        <w:rPr>
          <w:rFonts w:asciiTheme="majorHAnsi" w:hAnsiTheme="majorHAnsi"/>
        </w:rPr>
        <w:t>,</w:t>
      </w:r>
      <w:r w:rsidR="007B21B5" w:rsidRPr="00E145F8">
        <w:rPr>
          <w:rFonts w:asciiTheme="majorHAnsi" w:hAnsiTheme="majorHAnsi"/>
        </w:rPr>
        <w:t xml:space="preserve"> </w:t>
      </w:r>
      <w:r w:rsidR="007B21B5" w:rsidRPr="0063226B">
        <w:rPr>
          <w:rFonts w:asciiTheme="majorHAnsi" w:hAnsiTheme="majorHAnsi"/>
        </w:rPr>
        <w:t>17:00</w:t>
      </w:r>
      <w:r w:rsidR="0063226B" w:rsidRPr="0063226B">
        <w:rPr>
          <w:rFonts w:asciiTheme="majorHAnsi" w:hAnsiTheme="majorHAnsi"/>
        </w:rPr>
        <w:t>-</w:t>
      </w:r>
      <w:r w:rsidR="0063226B">
        <w:rPr>
          <w:rFonts w:asciiTheme="majorHAnsi" w:hAnsiTheme="majorHAnsi"/>
        </w:rPr>
        <w:t>18:30</w:t>
      </w:r>
    </w:p>
    <w:p w14:paraId="2AEF3785" w14:textId="77777777" w:rsidR="00804696" w:rsidRDefault="00804696" w:rsidP="00804696">
      <w:pPr>
        <w:spacing w:after="120" w:line="276" w:lineRule="auto"/>
        <w:jc w:val="both"/>
        <w:rPr>
          <w:rFonts w:asciiTheme="majorHAnsi" w:hAnsiTheme="majorHAnsi"/>
          <w:lang w:val="de-DE"/>
        </w:rPr>
      </w:pPr>
      <w:r w:rsidRPr="00804696">
        <w:rPr>
          <w:rFonts w:asciiTheme="majorHAnsi" w:hAnsiTheme="majorHAnsi"/>
          <w:lang w:val="de-DE"/>
        </w:rPr>
        <w:t xml:space="preserve">2. Mai: Einführung in die Literaturrecherche, </w:t>
      </w:r>
      <w:r>
        <w:rPr>
          <w:rFonts w:asciiTheme="majorHAnsi" w:hAnsiTheme="majorHAnsi"/>
          <w:lang w:val="de-DE"/>
        </w:rPr>
        <w:t>Universitätsbibliothek, 9:00-13:30</w:t>
      </w:r>
    </w:p>
    <w:p w14:paraId="3631BCF0" w14:textId="77777777" w:rsidR="00804696" w:rsidRPr="00804696" w:rsidRDefault="00804696" w:rsidP="00804696">
      <w:pPr>
        <w:spacing w:after="120" w:line="276" w:lineRule="auto"/>
        <w:jc w:val="both"/>
        <w:rPr>
          <w:rFonts w:asciiTheme="majorHAnsi" w:hAnsiTheme="majorHAnsi"/>
          <w:color w:val="FF0000"/>
          <w:lang w:val="de-DE"/>
        </w:rPr>
      </w:pPr>
      <w:r>
        <w:rPr>
          <w:rFonts w:asciiTheme="majorHAnsi" w:hAnsiTheme="majorHAnsi"/>
          <w:lang w:val="de-DE"/>
        </w:rPr>
        <w:t>9</w:t>
      </w:r>
      <w:r w:rsidRPr="00804696">
        <w:rPr>
          <w:rFonts w:asciiTheme="majorHAnsi" w:hAnsiTheme="majorHAnsi"/>
          <w:lang w:val="de-DE"/>
        </w:rPr>
        <w:t xml:space="preserve">. Mai: Einführung in die Literaturrecherche, </w:t>
      </w:r>
      <w:r>
        <w:rPr>
          <w:rFonts w:asciiTheme="majorHAnsi" w:hAnsiTheme="majorHAnsi"/>
          <w:lang w:val="de-DE"/>
        </w:rPr>
        <w:t>Universitätsbibliothek, 9:00-13:30</w:t>
      </w:r>
    </w:p>
    <w:p w14:paraId="41A9648F" w14:textId="565F155E" w:rsidR="007B21B5" w:rsidRDefault="000B7DC6" w:rsidP="00E77684">
      <w:pPr>
        <w:spacing w:after="120" w:line="276" w:lineRule="auto"/>
        <w:jc w:val="both"/>
        <w:rPr>
          <w:rFonts w:asciiTheme="majorHAnsi" w:hAnsiTheme="majorHAnsi"/>
        </w:rPr>
      </w:pPr>
      <w:r w:rsidRPr="0063226B">
        <w:rPr>
          <w:rFonts w:asciiTheme="majorHAnsi" w:hAnsiTheme="majorHAnsi"/>
        </w:rPr>
        <w:t>16</w:t>
      </w:r>
      <w:r w:rsidR="00BA704E" w:rsidRPr="0063226B">
        <w:rPr>
          <w:rFonts w:asciiTheme="majorHAnsi" w:hAnsiTheme="majorHAnsi"/>
        </w:rPr>
        <w:t xml:space="preserve">. </w:t>
      </w:r>
      <w:proofErr w:type="spellStart"/>
      <w:r w:rsidR="00BA704E" w:rsidRPr="0063226B">
        <w:rPr>
          <w:rFonts w:asciiTheme="majorHAnsi" w:hAnsiTheme="majorHAnsi"/>
        </w:rPr>
        <w:t>Juni</w:t>
      </w:r>
      <w:proofErr w:type="spellEnd"/>
      <w:r w:rsidR="007B21B5" w:rsidRPr="0063226B">
        <w:rPr>
          <w:rFonts w:asciiTheme="majorHAnsi" w:hAnsiTheme="majorHAnsi"/>
        </w:rPr>
        <w:t xml:space="preserve"> 2016: Block Meeting, </w:t>
      </w:r>
      <w:r w:rsidR="007F5E75" w:rsidRPr="00527DD5">
        <w:rPr>
          <w:rFonts w:asciiTheme="majorHAnsi" w:hAnsiTheme="majorHAnsi"/>
        </w:rPr>
        <w:t xml:space="preserve">SSC, </w:t>
      </w:r>
      <w:proofErr w:type="spellStart"/>
      <w:r w:rsidR="007F5E75" w:rsidRPr="00527DD5">
        <w:rPr>
          <w:rFonts w:asciiTheme="majorHAnsi" w:hAnsiTheme="majorHAnsi"/>
        </w:rPr>
        <w:t>Raum</w:t>
      </w:r>
      <w:proofErr w:type="spellEnd"/>
      <w:r w:rsidR="007F5E75" w:rsidRPr="00527DD5">
        <w:rPr>
          <w:rFonts w:asciiTheme="majorHAnsi" w:hAnsiTheme="majorHAnsi"/>
        </w:rPr>
        <w:t xml:space="preserve"> 3.206</w:t>
      </w:r>
      <w:r w:rsidR="007F5E75">
        <w:rPr>
          <w:rFonts w:asciiTheme="majorHAnsi" w:hAnsiTheme="majorHAnsi"/>
        </w:rPr>
        <w:t xml:space="preserve">, </w:t>
      </w:r>
      <w:r w:rsidR="00A011DB">
        <w:rPr>
          <w:rFonts w:asciiTheme="majorHAnsi" w:hAnsiTheme="majorHAnsi"/>
        </w:rPr>
        <w:t>9:00-13:0</w:t>
      </w:r>
      <w:r w:rsidR="0063226B" w:rsidRPr="0063226B">
        <w:rPr>
          <w:rFonts w:asciiTheme="majorHAnsi" w:hAnsiTheme="majorHAnsi"/>
        </w:rPr>
        <w:t>0</w:t>
      </w:r>
      <w:bookmarkStart w:id="0" w:name="_GoBack"/>
      <w:bookmarkEnd w:id="0"/>
    </w:p>
    <w:p w14:paraId="5DFD7FFF" w14:textId="2F3189B0" w:rsidR="00376618" w:rsidRPr="0063226B" w:rsidRDefault="000B7DC6" w:rsidP="00E77684">
      <w:pPr>
        <w:spacing w:after="120" w:line="276" w:lineRule="auto"/>
        <w:jc w:val="both"/>
        <w:rPr>
          <w:rFonts w:asciiTheme="majorHAnsi" w:hAnsiTheme="majorHAnsi"/>
          <w:color w:val="FF0000"/>
        </w:rPr>
      </w:pPr>
      <w:r w:rsidRPr="0063226B">
        <w:rPr>
          <w:rFonts w:asciiTheme="majorHAnsi" w:hAnsiTheme="majorHAnsi"/>
        </w:rPr>
        <w:t>17</w:t>
      </w:r>
      <w:r w:rsidR="00BA704E" w:rsidRPr="0063226B">
        <w:rPr>
          <w:rFonts w:asciiTheme="majorHAnsi" w:hAnsiTheme="majorHAnsi"/>
        </w:rPr>
        <w:t xml:space="preserve">. </w:t>
      </w:r>
      <w:proofErr w:type="spellStart"/>
      <w:r w:rsidR="00BA704E" w:rsidRPr="0063226B">
        <w:rPr>
          <w:rFonts w:asciiTheme="majorHAnsi" w:hAnsiTheme="majorHAnsi"/>
        </w:rPr>
        <w:t>Juni</w:t>
      </w:r>
      <w:proofErr w:type="spellEnd"/>
      <w:r w:rsidR="00BA704E" w:rsidRPr="0063226B">
        <w:rPr>
          <w:rFonts w:asciiTheme="majorHAnsi" w:hAnsiTheme="majorHAnsi"/>
        </w:rPr>
        <w:t xml:space="preserve"> </w:t>
      </w:r>
      <w:r w:rsidR="00376618" w:rsidRPr="0063226B">
        <w:rPr>
          <w:rFonts w:asciiTheme="majorHAnsi" w:hAnsiTheme="majorHAnsi"/>
        </w:rPr>
        <w:t>2016: Block Meeting,</w:t>
      </w:r>
      <w:r w:rsidR="00376618" w:rsidRPr="00527DD5">
        <w:rPr>
          <w:rFonts w:asciiTheme="majorHAnsi" w:hAnsiTheme="majorHAnsi"/>
        </w:rPr>
        <w:t xml:space="preserve"> </w:t>
      </w:r>
      <w:r w:rsidR="00527DD5" w:rsidRPr="00527DD5">
        <w:rPr>
          <w:rFonts w:asciiTheme="majorHAnsi" w:hAnsiTheme="majorHAnsi"/>
        </w:rPr>
        <w:t xml:space="preserve">SSC, </w:t>
      </w:r>
      <w:proofErr w:type="spellStart"/>
      <w:r w:rsidR="00527DD5" w:rsidRPr="00527DD5">
        <w:rPr>
          <w:rFonts w:asciiTheme="majorHAnsi" w:hAnsiTheme="majorHAnsi"/>
        </w:rPr>
        <w:t>Raum</w:t>
      </w:r>
      <w:proofErr w:type="spellEnd"/>
      <w:r w:rsidR="00527DD5" w:rsidRPr="00527DD5">
        <w:rPr>
          <w:rFonts w:asciiTheme="majorHAnsi" w:hAnsiTheme="majorHAnsi"/>
        </w:rPr>
        <w:t xml:space="preserve"> 3.206,</w:t>
      </w:r>
      <w:r w:rsidR="00376618" w:rsidRPr="00527DD5">
        <w:rPr>
          <w:rFonts w:asciiTheme="majorHAnsi" w:hAnsiTheme="majorHAnsi"/>
        </w:rPr>
        <w:t xml:space="preserve"> </w:t>
      </w:r>
      <w:r w:rsidR="00A011DB">
        <w:rPr>
          <w:rFonts w:asciiTheme="majorHAnsi" w:hAnsiTheme="majorHAnsi"/>
        </w:rPr>
        <w:t>12:3</w:t>
      </w:r>
      <w:r w:rsidR="0063226B" w:rsidRPr="0063226B">
        <w:rPr>
          <w:rFonts w:asciiTheme="majorHAnsi" w:hAnsiTheme="majorHAnsi"/>
        </w:rPr>
        <w:t>0-16:30</w:t>
      </w:r>
    </w:p>
    <w:p w14:paraId="2EAE01DF" w14:textId="66EDB62D" w:rsidR="007B21B5" w:rsidRDefault="007B21B5" w:rsidP="00E77684">
      <w:pPr>
        <w:spacing w:after="120" w:line="276" w:lineRule="auto"/>
        <w:jc w:val="both"/>
        <w:rPr>
          <w:rFonts w:asciiTheme="majorHAnsi" w:hAnsiTheme="majorHAnsi"/>
          <w:lang w:val="de-DE"/>
        </w:rPr>
      </w:pPr>
      <w:r w:rsidRPr="008F6D39">
        <w:rPr>
          <w:rFonts w:asciiTheme="majorHAnsi" w:hAnsiTheme="majorHAnsi"/>
          <w:lang w:val="de-DE"/>
        </w:rPr>
        <w:t>31. August 2016</w:t>
      </w:r>
      <w:r w:rsidRPr="007B21B5">
        <w:rPr>
          <w:rFonts w:asciiTheme="majorHAnsi" w:hAnsiTheme="majorHAnsi"/>
          <w:lang w:val="de-DE"/>
        </w:rPr>
        <w:t>:</w:t>
      </w:r>
      <w:r>
        <w:rPr>
          <w:rFonts w:asciiTheme="majorHAnsi" w:hAnsiTheme="majorHAnsi"/>
          <w:color w:val="FF0000"/>
          <w:lang w:val="de-DE"/>
        </w:rPr>
        <w:t xml:space="preserve"> </w:t>
      </w:r>
      <w:r w:rsidRPr="007B21B5">
        <w:rPr>
          <w:rFonts w:asciiTheme="majorHAnsi" w:hAnsiTheme="majorHAnsi"/>
          <w:lang w:val="de-DE"/>
        </w:rPr>
        <w:t>Einreichen der endg</w:t>
      </w:r>
      <w:r w:rsidRPr="007B21B5">
        <w:rPr>
          <w:rFonts w:ascii="Calibri" w:hAnsi="Calibri"/>
          <w:lang w:val="de-DE"/>
        </w:rPr>
        <w:t>ü</w:t>
      </w:r>
      <w:r w:rsidRPr="007B21B5">
        <w:rPr>
          <w:rFonts w:asciiTheme="majorHAnsi" w:hAnsiTheme="majorHAnsi"/>
          <w:lang w:val="de-DE"/>
        </w:rPr>
        <w:t>ltigen Seminararbeiten</w:t>
      </w:r>
    </w:p>
    <w:p w14:paraId="2D2A11F0" w14:textId="77777777" w:rsidR="00804696" w:rsidRDefault="00804696" w:rsidP="00E77684">
      <w:pPr>
        <w:spacing w:after="120" w:line="276" w:lineRule="auto"/>
        <w:jc w:val="both"/>
        <w:rPr>
          <w:rFonts w:asciiTheme="majorHAnsi" w:hAnsiTheme="majorHAnsi"/>
          <w:lang w:val="de-DE"/>
        </w:rPr>
      </w:pPr>
    </w:p>
    <w:p w14:paraId="1609E1A8" w14:textId="5BE1C489" w:rsidR="005A6267" w:rsidRPr="005A6267" w:rsidRDefault="005A6267" w:rsidP="00E77684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5A6267">
        <w:rPr>
          <w:rFonts w:asciiTheme="majorHAnsi" w:hAnsiTheme="majorHAnsi"/>
          <w:b/>
          <w:color w:val="4A657D"/>
          <w:sz w:val="28"/>
          <w:szCs w:val="28"/>
          <w:lang w:val="de-DE"/>
        </w:rPr>
        <w:lastRenderedPageBreak/>
        <w:t>Themen &amp; zugrundeliegende Literatur</w:t>
      </w:r>
    </w:p>
    <w:p w14:paraId="3B2C11BB" w14:textId="04A9F493" w:rsidR="007B21B5" w:rsidRPr="0049328C" w:rsidRDefault="0049328C" w:rsidP="0049328C">
      <w:pPr>
        <w:tabs>
          <w:tab w:val="left" w:pos="454"/>
        </w:tabs>
        <w:spacing w:after="12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49328C">
        <w:rPr>
          <w:rFonts w:asciiTheme="majorHAnsi" w:hAnsiTheme="majorHAnsi"/>
          <w:b/>
          <w:sz w:val="24"/>
          <w:szCs w:val="24"/>
        </w:rPr>
        <w:t xml:space="preserve">I. </w:t>
      </w:r>
      <w:r w:rsidRPr="0049328C">
        <w:rPr>
          <w:rFonts w:asciiTheme="majorHAnsi" w:hAnsiTheme="majorHAnsi"/>
          <w:b/>
          <w:sz w:val="24"/>
          <w:szCs w:val="24"/>
        </w:rPr>
        <w:tab/>
      </w:r>
      <w:r w:rsidR="007605A8" w:rsidRPr="0049328C">
        <w:rPr>
          <w:rFonts w:asciiTheme="majorHAnsi" w:hAnsiTheme="majorHAnsi"/>
          <w:b/>
          <w:sz w:val="24"/>
          <w:szCs w:val="24"/>
        </w:rPr>
        <w:t xml:space="preserve">Statements-of-intent </w:t>
      </w:r>
      <w:r w:rsidR="00376618" w:rsidRPr="0049328C">
        <w:rPr>
          <w:rFonts w:asciiTheme="majorHAnsi" w:hAnsiTheme="majorHAnsi"/>
          <w:b/>
          <w:sz w:val="24"/>
          <w:szCs w:val="24"/>
        </w:rPr>
        <w:t>(promises)</w:t>
      </w:r>
    </w:p>
    <w:p w14:paraId="48E692C6" w14:textId="5D4D4AE3" w:rsidR="00F4396B" w:rsidRDefault="007605A8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>
        <w:rPr>
          <w:rFonts w:asciiTheme="majorHAnsi" w:hAnsiTheme="majorHAnsi"/>
        </w:rPr>
        <w:tab/>
      </w:r>
      <w:proofErr w:type="spellStart"/>
      <w:r w:rsidR="00F4396B" w:rsidRPr="00F4396B">
        <w:rPr>
          <w:rFonts w:asciiTheme="majorHAnsi" w:hAnsiTheme="majorHAnsi"/>
        </w:rPr>
        <w:t>Charness</w:t>
      </w:r>
      <w:proofErr w:type="spellEnd"/>
      <w:r w:rsidR="00F4396B" w:rsidRPr="00F4396B">
        <w:rPr>
          <w:rFonts w:asciiTheme="majorHAnsi" w:hAnsiTheme="majorHAnsi"/>
        </w:rPr>
        <w:t>, G., and</w:t>
      </w:r>
      <w:r w:rsidR="00F4396B">
        <w:rPr>
          <w:rFonts w:asciiTheme="majorHAnsi" w:hAnsiTheme="majorHAnsi"/>
        </w:rPr>
        <w:t xml:space="preserve"> M. </w:t>
      </w:r>
      <w:proofErr w:type="spellStart"/>
      <w:r w:rsidR="00F4396B">
        <w:rPr>
          <w:rFonts w:asciiTheme="majorHAnsi" w:hAnsiTheme="majorHAnsi"/>
        </w:rPr>
        <w:t>Dufwenberg</w:t>
      </w:r>
      <w:proofErr w:type="spellEnd"/>
      <w:r w:rsidR="00F4396B">
        <w:rPr>
          <w:rFonts w:asciiTheme="majorHAnsi" w:hAnsiTheme="majorHAnsi"/>
        </w:rPr>
        <w:t xml:space="preserve"> (2006</w:t>
      </w:r>
      <w:r w:rsidR="00F4396B" w:rsidRPr="00F4396B">
        <w:rPr>
          <w:rFonts w:asciiTheme="majorHAnsi" w:hAnsiTheme="majorHAnsi"/>
        </w:rPr>
        <w:t xml:space="preserve">), </w:t>
      </w:r>
      <w:r w:rsidR="00F4396B">
        <w:rPr>
          <w:rFonts w:asciiTheme="majorHAnsi" w:hAnsiTheme="majorHAnsi"/>
        </w:rPr>
        <w:t xml:space="preserve">“Promises and Partnership”, </w:t>
      </w:r>
      <w:proofErr w:type="spellStart"/>
      <w:r w:rsidR="00F4396B">
        <w:rPr>
          <w:rFonts w:asciiTheme="majorHAnsi" w:hAnsiTheme="majorHAnsi"/>
        </w:rPr>
        <w:t>Econometrica</w:t>
      </w:r>
      <w:proofErr w:type="spellEnd"/>
      <w:r w:rsidR="00F4396B">
        <w:rPr>
          <w:rFonts w:asciiTheme="majorHAnsi" w:hAnsiTheme="majorHAnsi"/>
        </w:rPr>
        <w:t>, 74(6): 1579-1601</w:t>
      </w:r>
      <w:r w:rsidR="005E79B5">
        <w:rPr>
          <w:rFonts w:asciiTheme="majorHAnsi" w:hAnsiTheme="majorHAnsi"/>
        </w:rPr>
        <w:t>.</w:t>
      </w:r>
    </w:p>
    <w:p w14:paraId="3CBAA62A" w14:textId="108E01EE" w:rsidR="007605A8" w:rsidRPr="007605A8" w:rsidRDefault="007605A8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 w:cs="Times New Roman"/>
          <w:color w:val="231F20"/>
        </w:rPr>
      </w:pPr>
      <w:r w:rsidRPr="007605A8">
        <w:rPr>
          <w:rFonts w:asciiTheme="majorHAnsi" w:hAnsiTheme="majorHAnsi"/>
        </w:rPr>
        <w:t>2)</w:t>
      </w:r>
      <w:r w:rsidRPr="007605A8">
        <w:rPr>
          <w:rFonts w:asciiTheme="majorHAnsi" w:hAnsiTheme="majorHAnsi"/>
        </w:rPr>
        <w:tab/>
      </w:r>
      <w:proofErr w:type="spellStart"/>
      <w:r w:rsidRPr="007605A8">
        <w:rPr>
          <w:rFonts w:asciiTheme="majorHAnsi" w:hAnsiTheme="majorHAnsi"/>
        </w:rPr>
        <w:t>Vanberg</w:t>
      </w:r>
      <w:proofErr w:type="spellEnd"/>
      <w:r w:rsidRPr="007605A8">
        <w:rPr>
          <w:rFonts w:asciiTheme="majorHAnsi" w:hAnsiTheme="majorHAnsi" w:cs="Times New Roman"/>
          <w:color w:val="231F20"/>
        </w:rPr>
        <w:t>, C.</w:t>
      </w:r>
      <w:r>
        <w:rPr>
          <w:rFonts w:asciiTheme="majorHAnsi" w:hAnsiTheme="majorHAnsi" w:cs="Times New Roman"/>
          <w:color w:val="231F20"/>
        </w:rPr>
        <w:t xml:space="preserve"> (</w:t>
      </w:r>
      <w:r w:rsidRPr="007605A8">
        <w:rPr>
          <w:rFonts w:asciiTheme="majorHAnsi" w:hAnsiTheme="majorHAnsi" w:cs="Times New Roman"/>
          <w:color w:val="231F20"/>
        </w:rPr>
        <w:t>2008</w:t>
      </w:r>
      <w:r>
        <w:rPr>
          <w:rFonts w:asciiTheme="majorHAnsi" w:hAnsiTheme="majorHAnsi" w:cs="Times New Roman"/>
          <w:color w:val="231F20"/>
        </w:rPr>
        <w:t>),</w:t>
      </w:r>
      <w:r w:rsidRPr="007605A8">
        <w:rPr>
          <w:rFonts w:asciiTheme="majorHAnsi" w:hAnsiTheme="majorHAnsi" w:cs="Times New Roman"/>
          <w:color w:val="231F20"/>
        </w:rPr>
        <w:t xml:space="preserve"> </w:t>
      </w:r>
      <w:r>
        <w:rPr>
          <w:rFonts w:asciiTheme="majorHAnsi" w:hAnsiTheme="majorHAnsi" w:cs="Times New Roman"/>
          <w:color w:val="231F20"/>
        </w:rPr>
        <w:t>“Why do P</w:t>
      </w:r>
      <w:r w:rsidRPr="007605A8">
        <w:rPr>
          <w:rFonts w:asciiTheme="majorHAnsi" w:hAnsiTheme="majorHAnsi" w:cs="Times New Roman"/>
          <w:color w:val="231F20"/>
        </w:rPr>
        <w:t xml:space="preserve">eople </w:t>
      </w:r>
      <w:r>
        <w:rPr>
          <w:rFonts w:asciiTheme="majorHAnsi" w:hAnsiTheme="majorHAnsi" w:cs="Times New Roman"/>
          <w:color w:val="231F20"/>
        </w:rPr>
        <w:t>K</w:t>
      </w:r>
      <w:r w:rsidRPr="007605A8">
        <w:rPr>
          <w:rFonts w:asciiTheme="majorHAnsi" w:hAnsiTheme="majorHAnsi" w:cs="Times New Roman"/>
          <w:color w:val="231F20"/>
        </w:rPr>
        <w:t xml:space="preserve">eep </w:t>
      </w:r>
      <w:r>
        <w:rPr>
          <w:rFonts w:asciiTheme="majorHAnsi" w:hAnsiTheme="majorHAnsi" w:cs="Times New Roman"/>
          <w:color w:val="231F20"/>
        </w:rPr>
        <w:t>T</w:t>
      </w:r>
      <w:r w:rsidRPr="007605A8">
        <w:rPr>
          <w:rFonts w:asciiTheme="majorHAnsi" w:hAnsiTheme="majorHAnsi" w:cs="Times New Roman"/>
          <w:color w:val="231F20"/>
        </w:rPr>
        <w:t xml:space="preserve">heir </w:t>
      </w:r>
      <w:r>
        <w:rPr>
          <w:rFonts w:asciiTheme="majorHAnsi" w:hAnsiTheme="majorHAnsi" w:cs="Times New Roman"/>
          <w:color w:val="231F20"/>
        </w:rPr>
        <w:t>P</w:t>
      </w:r>
      <w:r w:rsidRPr="007605A8">
        <w:rPr>
          <w:rFonts w:asciiTheme="majorHAnsi" w:hAnsiTheme="majorHAnsi" w:cs="Times New Roman"/>
          <w:color w:val="231F20"/>
        </w:rPr>
        <w:t xml:space="preserve">romises? An </w:t>
      </w:r>
      <w:r>
        <w:rPr>
          <w:rFonts w:asciiTheme="majorHAnsi" w:hAnsiTheme="majorHAnsi" w:cs="Times New Roman"/>
          <w:color w:val="231F20"/>
        </w:rPr>
        <w:t>E</w:t>
      </w:r>
      <w:r w:rsidRPr="007605A8">
        <w:rPr>
          <w:rFonts w:asciiTheme="majorHAnsi" w:hAnsiTheme="majorHAnsi" w:cs="Times New Roman"/>
          <w:color w:val="231F20"/>
        </w:rPr>
        <w:t xml:space="preserve">xperimental </w:t>
      </w:r>
      <w:r>
        <w:rPr>
          <w:rFonts w:asciiTheme="majorHAnsi" w:hAnsiTheme="majorHAnsi" w:cs="Times New Roman"/>
          <w:color w:val="231F20"/>
        </w:rPr>
        <w:t>T</w:t>
      </w:r>
      <w:r w:rsidRPr="007605A8">
        <w:rPr>
          <w:rFonts w:asciiTheme="majorHAnsi" w:hAnsiTheme="majorHAnsi" w:cs="Times New Roman"/>
          <w:color w:val="231F20"/>
        </w:rPr>
        <w:t xml:space="preserve">est of two </w:t>
      </w:r>
      <w:r>
        <w:rPr>
          <w:rFonts w:asciiTheme="majorHAnsi" w:hAnsiTheme="majorHAnsi" w:cs="Times New Roman"/>
          <w:color w:val="231F20"/>
        </w:rPr>
        <w:t>E</w:t>
      </w:r>
      <w:r w:rsidRPr="007605A8">
        <w:rPr>
          <w:rFonts w:asciiTheme="majorHAnsi" w:hAnsiTheme="majorHAnsi" w:cs="Times New Roman"/>
          <w:color w:val="231F20"/>
        </w:rPr>
        <w:t>xplan</w:t>
      </w:r>
      <w:r w:rsidRPr="007605A8">
        <w:rPr>
          <w:rFonts w:asciiTheme="majorHAnsi" w:hAnsiTheme="majorHAnsi" w:cs="Times New Roman"/>
          <w:color w:val="231F20"/>
        </w:rPr>
        <w:t>a</w:t>
      </w:r>
      <w:r w:rsidRPr="007605A8">
        <w:rPr>
          <w:rFonts w:asciiTheme="majorHAnsi" w:hAnsiTheme="majorHAnsi" w:cs="Times New Roman"/>
          <w:color w:val="231F20"/>
        </w:rPr>
        <w:t>tions</w:t>
      </w:r>
      <w:r>
        <w:rPr>
          <w:rFonts w:asciiTheme="majorHAnsi" w:hAnsiTheme="majorHAnsi" w:cs="Times New Roman"/>
          <w:color w:val="231F20"/>
        </w:rPr>
        <w:t>”,</w:t>
      </w:r>
      <w:r w:rsidRPr="007605A8">
        <w:rPr>
          <w:rFonts w:asciiTheme="majorHAnsi" w:hAnsiTheme="majorHAnsi" w:cs="Times New Roman"/>
          <w:color w:val="231F20"/>
        </w:rPr>
        <w:t xml:space="preserve"> </w:t>
      </w:r>
      <w:proofErr w:type="spellStart"/>
      <w:r w:rsidRPr="007605A8">
        <w:rPr>
          <w:rFonts w:asciiTheme="majorHAnsi" w:hAnsiTheme="majorHAnsi" w:cs="Times New Roman"/>
          <w:color w:val="231F20"/>
        </w:rPr>
        <w:t>Econometrica</w:t>
      </w:r>
      <w:proofErr w:type="spellEnd"/>
      <w:r>
        <w:rPr>
          <w:rFonts w:asciiTheme="majorHAnsi" w:hAnsiTheme="majorHAnsi" w:cs="Times New Roman"/>
          <w:color w:val="231F20"/>
        </w:rPr>
        <w:t>,</w:t>
      </w:r>
      <w:r w:rsidRPr="007605A8">
        <w:rPr>
          <w:rFonts w:asciiTheme="majorHAnsi" w:hAnsiTheme="majorHAnsi" w:cs="Times New Roman"/>
          <w:color w:val="231F20"/>
        </w:rPr>
        <w:t xml:space="preserve"> 76, 1467</w:t>
      </w:r>
      <w:r w:rsidRPr="007605A8">
        <w:rPr>
          <w:rFonts w:asciiTheme="majorHAnsi" w:hAnsiTheme="majorHAnsi" w:cs="Times New Roman"/>
          <w:b/>
          <w:bCs/>
          <w:color w:val="231F20"/>
        </w:rPr>
        <w:t>–</w:t>
      </w:r>
      <w:r w:rsidRPr="007605A8">
        <w:rPr>
          <w:rFonts w:asciiTheme="majorHAnsi" w:hAnsiTheme="majorHAnsi" w:cs="Times New Roman"/>
          <w:color w:val="231F20"/>
        </w:rPr>
        <w:t>1480.</w:t>
      </w:r>
    </w:p>
    <w:p w14:paraId="3D74FDC1" w14:textId="4F4F4B45" w:rsidR="002D5BCB" w:rsidRDefault="007605A8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3)</w:t>
      </w:r>
      <w:r>
        <w:rPr>
          <w:rFonts w:asciiTheme="majorHAnsi" w:hAnsiTheme="majorHAnsi"/>
        </w:rPr>
        <w:tab/>
      </w:r>
      <w:proofErr w:type="spellStart"/>
      <w:r w:rsidR="005E79B5" w:rsidRPr="00F4396B">
        <w:rPr>
          <w:rFonts w:asciiTheme="majorHAnsi" w:hAnsiTheme="majorHAnsi"/>
        </w:rPr>
        <w:t>Charness</w:t>
      </w:r>
      <w:proofErr w:type="spellEnd"/>
      <w:r w:rsidR="005E79B5" w:rsidRPr="00F4396B">
        <w:rPr>
          <w:rFonts w:asciiTheme="majorHAnsi" w:hAnsiTheme="majorHAnsi"/>
        </w:rPr>
        <w:t>, G., and</w:t>
      </w:r>
      <w:r w:rsidR="005E79B5">
        <w:rPr>
          <w:rFonts w:asciiTheme="majorHAnsi" w:hAnsiTheme="majorHAnsi"/>
        </w:rPr>
        <w:t xml:space="preserve"> M. </w:t>
      </w:r>
      <w:proofErr w:type="spellStart"/>
      <w:r w:rsidR="005E79B5">
        <w:rPr>
          <w:rFonts w:asciiTheme="majorHAnsi" w:hAnsiTheme="majorHAnsi"/>
        </w:rPr>
        <w:t>Dufwenberg</w:t>
      </w:r>
      <w:proofErr w:type="spellEnd"/>
      <w:r w:rsidR="005E79B5">
        <w:rPr>
          <w:rFonts w:asciiTheme="majorHAnsi" w:hAnsiTheme="majorHAnsi"/>
        </w:rPr>
        <w:t xml:space="preserve"> (2010</w:t>
      </w:r>
      <w:r w:rsidR="005E79B5" w:rsidRPr="00F4396B">
        <w:rPr>
          <w:rFonts w:asciiTheme="majorHAnsi" w:hAnsiTheme="majorHAnsi"/>
        </w:rPr>
        <w:t xml:space="preserve">), </w:t>
      </w:r>
      <w:r w:rsidR="005E79B5">
        <w:rPr>
          <w:rFonts w:asciiTheme="majorHAnsi" w:hAnsiTheme="majorHAnsi"/>
        </w:rPr>
        <w:t>“Bare Promises: An Experiment”, Economic Letters, 107(2): 281-283.</w:t>
      </w:r>
    </w:p>
    <w:p w14:paraId="34176D7B" w14:textId="0F94749C" w:rsidR="009E55C4" w:rsidRDefault="009E55C4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>
        <w:rPr>
          <w:rFonts w:asciiTheme="majorHAnsi" w:hAnsiTheme="majorHAnsi"/>
        </w:rPr>
        <w:tab/>
        <w:t xml:space="preserve">Kessler, J. B., and S. </w:t>
      </w:r>
      <w:proofErr w:type="spellStart"/>
      <w:r>
        <w:rPr>
          <w:rFonts w:asciiTheme="majorHAnsi" w:hAnsiTheme="majorHAnsi"/>
        </w:rPr>
        <w:t>Leider</w:t>
      </w:r>
      <w:proofErr w:type="spellEnd"/>
      <w:r>
        <w:rPr>
          <w:rFonts w:asciiTheme="majorHAnsi" w:hAnsiTheme="majorHAnsi"/>
        </w:rPr>
        <w:t xml:space="preserve"> (2014), “Norms and Contracting”, Management Science, 58(1): 62-77.</w:t>
      </w:r>
    </w:p>
    <w:p w14:paraId="04A66156" w14:textId="1D4B3787" w:rsidR="002D5BCB" w:rsidRPr="002D5BCB" w:rsidRDefault="009E55C4" w:rsidP="00E17DE9">
      <w:pPr>
        <w:tabs>
          <w:tab w:val="left" w:pos="454"/>
        </w:tabs>
        <w:spacing w:after="120" w:line="276" w:lineRule="auto"/>
        <w:ind w:left="907" w:hanging="907"/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</w:rPr>
        <w:t>5</w:t>
      </w:r>
      <w:r w:rsidR="002D5BCB">
        <w:rPr>
          <w:rFonts w:asciiTheme="majorHAnsi" w:hAnsiTheme="majorHAnsi"/>
        </w:rPr>
        <w:t>)</w:t>
      </w:r>
      <w:r w:rsidR="002D5BCB">
        <w:rPr>
          <w:rFonts w:asciiTheme="majorHAnsi" w:hAnsiTheme="majorHAnsi"/>
        </w:rPr>
        <w:tab/>
      </w:r>
      <w:proofErr w:type="spellStart"/>
      <w:r w:rsidR="002D5BCB">
        <w:rPr>
          <w:rFonts w:asciiTheme="majorHAnsi" w:hAnsiTheme="majorHAnsi"/>
        </w:rPr>
        <w:t>Stremitzer</w:t>
      </w:r>
      <w:proofErr w:type="spellEnd"/>
      <w:r w:rsidR="002D5BCB">
        <w:rPr>
          <w:rFonts w:asciiTheme="majorHAnsi" w:hAnsiTheme="majorHAnsi"/>
        </w:rPr>
        <w:t xml:space="preserve">, A. and R. Stone (2016), “Promises, Reliance, and Psychological Lock-In”, Working Paper, available online </w:t>
      </w:r>
      <w:r w:rsidR="002D5BCB" w:rsidRPr="002D5BCB">
        <w:rPr>
          <w:rFonts w:asciiTheme="majorHAnsi" w:hAnsiTheme="majorHAnsi"/>
        </w:rPr>
        <w:t xml:space="preserve">at: </w:t>
      </w:r>
      <w:r w:rsidR="002D5BCB" w:rsidRPr="002D5BCB">
        <w:rPr>
          <w:rFonts w:asciiTheme="majorHAnsi" w:eastAsia="Times New Roman" w:hAnsiTheme="majorHAnsi" w:cs="Arial"/>
        </w:rPr>
        <w:t>http://ssrn.com/abstract=2660949</w:t>
      </w:r>
    </w:p>
    <w:p w14:paraId="30076D36" w14:textId="77777777" w:rsidR="002D5BCB" w:rsidRDefault="002D5BCB" w:rsidP="002D5BCB">
      <w:pPr>
        <w:tabs>
          <w:tab w:val="left" w:pos="454"/>
        </w:tabs>
        <w:spacing w:after="120" w:line="276" w:lineRule="auto"/>
        <w:ind w:left="907" w:hanging="907"/>
        <w:jc w:val="both"/>
        <w:rPr>
          <w:rFonts w:asciiTheme="majorHAnsi" w:hAnsiTheme="majorHAnsi"/>
        </w:rPr>
      </w:pPr>
    </w:p>
    <w:p w14:paraId="33CA3BB4" w14:textId="5A00BA03" w:rsidR="00E17DE9" w:rsidRPr="0049328C" w:rsidRDefault="0049328C" w:rsidP="0049328C">
      <w:pPr>
        <w:tabs>
          <w:tab w:val="left" w:pos="454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</w:t>
      </w:r>
      <w:r>
        <w:rPr>
          <w:rFonts w:asciiTheme="majorHAnsi" w:hAnsiTheme="majorHAnsi"/>
          <w:b/>
          <w:sz w:val="24"/>
          <w:szCs w:val="24"/>
        </w:rPr>
        <w:tab/>
      </w:r>
      <w:r w:rsidR="00E17DE9" w:rsidRPr="0049328C">
        <w:rPr>
          <w:rFonts w:asciiTheme="majorHAnsi" w:hAnsiTheme="majorHAnsi"/>
          <w:b/>
          <w:sz w:val="24"/>
          <w:szCs w:val="24"/>
        </w:rPr>
        <w:t>Contract Design</w:t>
      </w:r>
    </w:p>
    <w:p w14:paraId="21ECC423" w14:textId="2C4FE01B" w:rsidR="006D7E17" w:rsidRPr="001B4B8F" w:rsidRDefault="007E661C" w:rsidP="001B4B8F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</w:rPr>
        <w:t>6</w:t>
      </w:r>
      <w:r w:rsidR="006D7E17" w:rsidRPr="006D7E17">
        <w:rPr>
          <w:rFonts w:asciiTheme="majorHAnsi" w:eastAsia="Times New Roman" w:hAnsiTheme="majorHAnsi" w:cs="Times New Roman"/>
        </w:rPr>
        <w:t>)</w:t>
      </w:r>
      <w:r w:rsidR="006D7E17" w:rsidRPr="006D7E17">
        <w:rPr>
          <w:rFonts w:asciiTheme="majorHAnsi" w:eastAsia="Times New Roman" w:hAnsiTheme="majorHAnsi" w:cs="Times New Roman"/>
        </w:rPr>
        <w:tab/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Falk, </w:t>
      </w:r>
      <w:r w:rsidR="006D7E17" w:rsidRPr="006D7E17">
        <w:rPr>
          <w:rFonts w:asciiTheme="majorHAnsi" w:eastAsia="Times New Roman" w:hAnsiTheme="majorHAnsi" w:cs="Times New Roman"/>
        </w:rPr>
        <w:t>A</w:t>
      </w:r>
      <w:r w:rsidR="006D7E17">
        <w:rPr>
          <w:rFonts w:asciiTheme="majorHAnsi" w:eastAsia="Times New Roman" w:hAnsiTheme="majorHAnsi" w:cs="Times New Roman"/>
        </w:rPr>
        <w:t>.</w:t>
      </w:r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, u</w:t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nd M</w:t>
      </w:r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</w:t>
      </w:r>
      <w:proofErr w:type="spellStart"/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Kosfeld</w:t>
      </w:r>
      <w:proofErr w:type="spellEnd"/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(</w:t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2006</w:t>
      </w:r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), “</w:t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The Hidden Costs of Control</w:t>
      </w:r>
      <w:r w:rsid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”,</w:t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r w:rsidR="006D7E17" w:rsidRPr="006D7E17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American Economic Review</w:t>
      </w:r>
      <w:r w:rsidR="006D7E17" w:rsidRPr="006D7E17">
        <w:rPr>
          <w:rFonts w:asciiTheme="majorHAnsi" w:eastAsia="Times New Roman" w:hAnsiTheme="majorHAnsi" w:cs="Times New Roman"/>
          <w:color w:val="000000"/>
          <w:shd w:val="clear" w:color="auto" w:fill="FFFFFF"/>
        </w:rPr>
        <w:t>, 96(5): 1611-1630.</w:t>
      </w:r>
    </w:p>
    <w:p w14:paraId="769B539F" w14:textId="539A7748" w:rsidR="000A3297" w:rsidRDefault="007E661C" w:rsidP="003D3D4A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7</w:t>
      </w:r>
      <w:r w:rsidR="000A3297">
        <w:rPr>
          <w:rFonts w:asciiTheme="majorHAnsi" w:eastAsia="Times New Roman" w:hAnsiTheme="majorHAnsi" w:cs="Times New Roman"/>
        </w:rPr>
        <w:t>)</w:t>
      </w:r>
      <w:r w:rsidR="000A3297">
        <w:rPr>
          <w:rFonts w:asciiTheme="majorHAnsi" w:eastAsia="Times New Roman" w:hAnsiTheme="majorHAnsi" w:cs="Times New Roman"/>
        </w:rPr>
        <w:tab/>
        <w:t xml:space="preserve">Fehr, E., A. Klein und K. M. Schmidt (2007), “Fairness and Contract Design”, </w:t>
      </w:r>
      <w:proofErr w:type="spellStart"/>
      <w:r w:rsidR="000A3297">
        <w:rPr>
          <w:rFonts w:asciiTheme="majorHAnsi" w:eastAsia="Times New Roman" w:hAnsiTheme="majorHAnsi" w:cs="Times New Roman"/>
        </w:rPr>
        <w:t>Econometrica</w:t>
      </w:r>
      <w:proofErr w:type="spellEnd"/>
      <w:r w:rsidR="000A3297">
        <w:rPr>
          <w:rFonts w:asciiTheme="majorHAnsi" w:eastAsia="Times New Roman" w:hAnsiTheme="majorHAnsi" w:cs="Times New Roman"/>
        </w:rPr>
        <w:t xml:space="preserve">, 75(1): 121-154. </w:t>
      </w:r>
    </w:p>
    <w:p w14:paraId="092E9D5C" w14:textId="6B461801" w:rsidR="003D3D4A" w:rsidRDefault="007E661C" w:rsidP="003D3D4A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8</w:t>
      </w:r>
      <w:r w:rsidR="003D3D4A" w:rsidRPr="00E17DE9">
        <w:rPr>
          <w:rFonts w:asciiTheme="majorHAnsi" w:eastAsia="Times New Roman" w:hAnsiTheme="majorHAnsi" w:cs="Times New Roman"/>
        </w:rPr>
        <w:t xml:space="preserve">) </w:t>
      </w:r>
      <w:r w:rsidR="003D3D4A" w:rsidRPr="00E17DE9">
        <w:rPr>
          <w:rFonts w:asciiTheme="majorHAnsi" w:eastAsia="Times New Roman" w:hAnsiTheme="majorHAnsi" w:cs="Times New Roman"/>
        </w:rPr>
        <w:tab/>
      </w:r>
      <w:proofErr w:type="spellStart"/>
      <w:r w:rsidR="003D3D4A" w:rsidRPr="00E17DE9">
        <w:rPr>
          <w:rFonts w:asciiTheme="majorHAnsi" w:eastAsia="Times New Roman" w:hAnsiTheme="majorHAnsi" w:cs="Times New Roman"/>
        </w:rPr>
        <w:t>Lammers</w:t>
      </w:r>
      <w:proofErr w:type="spellEnd"/>
      <w:r w:rsidR="003D3D4A" w:rsidRPr="00E17DE9">
        <w:rPr>
          <w:rFonts w:asciiTheme="majorHAnsi" w:eastAsia="Times New Roman" w:hAnsiTheme="majorHAnsi" w:cs="Times New Roman"/>
        </w:rPr>
        <w:t xml:space="preserve">, </w:t>
      </w:r>
      <w:r w:rsidR="003D3D4A" w:rsidRPr="00E17DE9">
        <w:rPr>
          <w:rFonts w:asciiTheme="majorHAnsi" w:hAnsiTheme="majorHAnsi"/>
        </w:rPr>
        <w:t>F.</w:t>
      </w:r>
      <w:r w:rsidR="003D3D4A" w:rsidRPr="00E17DE9">
        <w:rPr>
          <w:rFonts w:asciiTheme="majorHAnsi" w:eastAsia="Times New Roman" w:hAnsiTheme="majorHAnsi" w:cs="Times New Roman"/>
        </w:rPr>
        <w:t>, and J. Schiller (2010): “Contract Design and Insurance Fraud: An Experimental Invest</w:t>
      </w:r>
      <w:r w:rsidR="003D3D4A" w:rsidRPr="00E17DE9">
        <w:rPr>
          <w:rFonts w:asciiTheme="majorHAnsi" w:eastAsia="Times New Roman" w:hAnsiTheme="majorHAnsi" w:cs="Times New Roman"/>
        </w:rPr>
        <w:t>i</w:t>
      </w:r>
      <w:r w:rsidR="003D3D4A" w:rsidRPr="00E17DE9">
        <w:rPr>
          <w:rFonts w:asciiTheme="majorHAnsi" w:eastAsia="Times New Roman" w:hAnsiTheme="majorHAnsi" w:cs="Times New Roman"/>
        </w:rPr>
        <w:t>gation”, FZID Discussion Papers, No. 19-2010, available online at: http://www.econstor.eu/handle/10419/37074</w:t>
      </w:r>
    </w:p>
    <w:p w14:paraId="11A218E9" w14:textId="44904F86" w:rsidR="00A966C0" w:rsidRDefault="007E661C" w:rsidP="003D3D4A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9</w:t>
      </w:r>
      <w:r w:rsidR="00A966C0">
        <w:rPr>
          <w:rFonts w:asciiTheme="majorHAnsi" w:eastAsia="Times New Roman" w:hAnsiTheme="majorHAnsi" w:cs="Times New Roman"/>
        </w:rPr>
        <w:t>)</w:t>
      </w:r>
      <w:r w:rsidR="00A966C0">
        <w:rPr>
          <w:rFonts w:asciiTheme="majorHAnsi" w:eastAsia="Times New Roman" w:hAnsiTheme="majorHAnsi" w:cs="Times New Roman"/>
        </w:rPr>
        <w:tab/>
      </w:r>
      <w:proofErr w:type="spellStart"/>
      <w:r w:rsidR="00A966C0">
        <w:rPr>
          <w:rFonts w:asciiTheme="majorHAnsi" w:eastAsia="Times New Roman" w:hAnsiTheme="majorHAnsi" w:cs="Times New Roman"/>
        </w:rPr>
        <w:t>Abeler</w:t>
      </w:r>
      <w:proofErr w:type="spellEnd"/>
      <w:r w:rsidR="00A966C0">
        <w:rPr>
          <w:rFonts w:asciiTheme="majorHAnsi" w:eastAsia="Times New Roman" w:hAnsiTheme="majorHAnsi" w:cs="Times New Roman"/>
        </w:rPr>
        <w:t xml:space="preserve">, </w:t>
      </w:r>
      <w:r w:rsidR="000A3297">
        <w:rPr>
          <w:rFonts w:asciiTheme="majorHAnsi" w:eastAsia="Times New Roman" w:hAnsiTheme="majorHAnsi" w:cs="Times New Roman"/>
        </w:rPr>
        <w:t>J., et al. (2011), “Reference Points and Effort Provision”, American Economic Review, 101(2): 470-492.</w:t>
      </w:r>
    </w:p>
    <w:p w14:paraId="177B889E" w14:textId="295FC4C0" w:rsidR="00B0001A" w:rsidRDefault="007E661C" w:rsidP="003D3D4A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10</w:t>
      </w:r>
      <w:r w:rsidR="00B0001A">
        <w:rPr>
          <w:rFonts w:asciiTheme="majorHAnsi" w:eastAsia="Times New Roman" w:hAnsiTheme="majorHAnsi" w:cs="Times New Roman"/>
        </w:rPr>
        <w:t>)</w:t>
      </w:r>
      <w:r w:rsidR="00B0001A">
        <w:rPr>
          <w:rFonts w:asciiTheme="majorHAnsi" w:eastAsia="Times New Roman" w:hAnsiTheme="majorHAnsi" w:cs="Times New Roman"/>
        </w:rPr>
        <w:tab/>
        <w:t xml:space="preserve">Fehr, E., O. Hart und C. </w:t>
      </w:r>
      <w:proofErr w:type="spellStart"/>
      <w:r w:rsidR="00B0001A">
        <w:rPr>
          <w:rFonts w:asciiTheme="majorHAnsi" w:eastAsia="Times New Roman" w:hAnsiTheme="majorHAnsi" w:cs="Times New Roman"/>
        </w:rPr>
        <w:t>Zehnder</w:t>
      </w:r>
      <w:proofErr w:type="spellEnd"/>
      <w:r w:rsidR="00B0001A">
        <w:rPr>
          <w:rFonts w:asciiTheme="majorHAnsi" w:eastAsia="Times New Roman" w:hAnsiTheme="majorHAnsi" w:cs="Times New Roman"/>
        </w:rPr>
        <w:t xml:space="preserve"> (2011), “Contracts as Reference-Points – Experimental Evidence”, American Economic Review, 101(2): 493-525.</w:t>
      </w:r>
    </w:p>
    <w:p w14:paraId="65AA72B3" w14:textId="0F853EC7" w:rsidR="001B4B8F" w:rsidRPr="001B4B8F" w:rsidRDefault="007E661C" w:rsidP="001B4B8F">
      <w:pPr>
        <w:tabs>
          <w:tab w:val="left" w:pos="454"/>
        </w:tabs>
        <w:spacing w:after="120" w:line="276" w:lineRule="auto"/>
        <w:ind w:left="907" w:hanging="907"/>
        <w:rPr>
          <w:rFonts w:ascii="Calibri" w:eastAsia="Times New Roman" w:hAnsi="Calibri" w:cs="Arial"/>
          <w:bCs/>
          <w:color w:val="000000"/>
          <w:kern w:val="36"/>
        </w:rPr>
      </w:pPr>
      <w:r>
        <w:rPr>
          <w:rFonts w:ascii="Calibri" w:eastAsia="Times New Roman" w:hAnsi="Calibri" w:cs="Times New Roman"/>
        </w:rPr>
        <w:t>11</w:t>
      </w:r>
      <w:r w:rsidR="001B4B8F" w:rsidRPr="001B4B8F">
        <w:rPr>
          <w:rFonts w:ascii="Calibri" w:eastAsia="Times New Roman" w:hAnsi="Calibri" w:cs="Times New Roman"/>
        </w:rPr>
        <w:t>)</w:t>
      </w:r>
      <w:r w:rsidR="001B4B8F" w:rsidRPr="001B4B8F">
        <w:rPr>
          <w:rFonts w:ascii="Calibri" w:eastAsia="Times New Roman" w:hAnsi="Calibri" w:cs="Times New Roman"/>
        </w:rPr>
        <w:tab/>
        <w:t xml:space="preserve">Landry, C., et al. (2011), </w:t>
      </w:r>
      <w:r w:rsidR="001B4B8F">
        <w:rPr>
          <w:rFonts w:ascii="Calibri" w:eastAsia="Times New Roman" w:hAnsi="Calibri" w:cs="Times New Roman"/>
        </w:rPr>
        <w:t>“</w:t>
      </w:r>
      <w:r w:rsidR="001B4B8F">
        <w:rPr>
          <w:rFonts w:ascii="Calibri" w:eastAsia="Times New Roman" w:hAnsi="Calibri" w:cs="Arial"/>
          <w:bCs/>
          <w:color w:val="000000"/>
          <w:kern w:val="36"/>
        </w:rPr>
        <w:t>Is There a ‘Hidden Cost of Control’</w:t>
      </w:r>
      <w:r w:rsidR="001B4B8F" w:rsidRPr="001B4B8F">
        <w:rPr>
          <w:rFonts w:ascii="Calibri" w:eastAsia="Times New Roman" w:hAnsi="Calibri" w:cs="Arial"/>
          <w:bCs/>
          <w:color w:val="000000"/>
          <w:kern w:val="36"/>
        </w:rPr>
        <w:t xml:space="preserve"> in Naturally-Occurring Markets? Ev</w:t>
      </w:r>
      <w:r w:rsidR="001B4B8F" w:rsidRPr="001B4B8F">
        <w:rPr>
          <w:rFonts w:ascii="Calibri" w:eastAsia="Times New Roman" w:hAnsi="Calibri" w:cs="Arial"/>
          <w:bCs/>
          <w:color w:val="000000"/>
          <w:kern w:val="36"/>
        </w:rPr>
        <w:t>i</w:t>
      </w:r>
      <w:r w:rsidR="001B4B8F" w:rsidRPr="001B4B8F">
        <w:rPr>
          <w:rFonts w:ascii="Calibri" w:eastAsia="Times New Roman" w:hAnsi="Calibri" w:cs="Arial"/>
          <w:bCs/>
          <w:color w:val="000000"/>
          <w:kern w:val="36"/>
        </w:rPr>
        <w:t>dence from a Natural Field Experiment</w:t>
      </w:r>
      <w:r w:rsidR="001B4B8F">
        <w:rPr>
          <w:rFonts w:ascii="Calibri" w:eastAsia="Times New Roman" w:hAnsi="Calibri" w:cs="Arial"/>
          <w:bCs/>
          <w:color w:val="000000"/>
          <w:kern w:val="36"/>
        </w:rPr>
        <w:t xml:space="preserve">”, NBER Working Paper, No. w17472, available online at: </w:t>
      </w:r>
      <w:r w:rsidR="001B4B8F" w:rsidRPr="001B4B8F">
        <w:rPr>
          <w:rFonts w:ascii="Calibri" w:eastAsia="Times New Roman" w:hAnsi="Calibri" w:cs="Arial"/>
          <w:bCs/>
          <w:color w:val="000000"/>
          <w:kern w:val="36"/>
        </w:rPr>
        <w:t>http://ssrn.com/abstract=1935269</w:t>
      </w:r>
    </w:p>
    <w:p w14:paraId="6B8EF07E" w14:textId="19511B28" w:rsidR="003D3D4A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12</w:t>
      </w:r>
      <w:r w:rsidR="003D3D4A">
        <w:rPr>
          <w:rFonts w:asciiTheme="majorHAnsi" w:eastAsia="Times New Roman" w:hAnsiTheme="majorHAnsi" w:cs="Times New Roman"/>
        </w:rPr>
        <w:t>)</w:t>
      </w:r>
      <w:r w:rsidR="003D3D4A">
        <w:rPr>
          <w:rFonts w:asciiTheme="majorHAnsi" w:eastAsia="Times New Roman" w:hAnsiTheme="majorHAnsi" w:cs="Times New Roman"/>
        </w:rPr>
        <w:tab/>
        <w:t xml:space="preserve">Brooks, R. R. W., A. </w:t>
      </w:r>
      <w:proofErr w:type="spellStart"/>
      <w:r w:rsidR="003D3D4A">
        <w:rPr>
          <w:rFonts w:asciiTheme="majorHAnsi" w:eastAsia="Times New Roman" w:hAnsiTheme="majorHAnsi" w:cs="Times New Roman"/>
        </w:rPr>
        <w:t>Stremitzer</w:t>
      </w:r>
      <w:proofErr w:type="spellEnd"/>
      <w:r w:rsidR="003D3D4A">
        <w:rPr>
          <w:rFonts w:asciiTheme="majorHAnsi" w:eastAsia="Times New Roman" w:hAnsiTheme="majorHAnsi" w:cs="Times New Roman"/>
        </w:rPr>
        <w:t xml:space="preserve">, and S. </w:t>
      </w:r>
      <w:proofErr w:type="spellStart"/>
      <w:r w:rsidR="003D3D4A">
        <w:rPr>
          <w:rFonts w:asciiTheme="majorHAnsi" w:eastAsia="Times New Roman" w:hAnsiTheme="majorHAnsi" w:cs="Times New Roman"/>
        </w:rPr>
        <w:t>Tontrup</w:t>
      </w:r>
      <w:proofErr w:type="spellEnd"/>
      <w:r w:rsidR="003D3D4A">
        <w:rPr>
          <w:rFonts w:asciiTheme="majorHAnsi" w:eastAsia="Times New Roman" w:hAnsiTheme="majorHAnsi" w:cs="Times New Roman"/>
        </w:rPr>
        <w:t xml:space="preserve"> (2012), “Framing Contracts: Why Loss Framing I</w:t>
      </w:r>
      <w:r w:rsidR="003D3D4A">
        <w:rPr>
          <w:rFonts w:asciiTheme="majorHAnsi" w:eastAsia="Times New Roman" w:hAnsiTheme="majorHAnsi" w:cs="Times New Roman"/>
        </w:rPr>
        <w:t>n</w:t>
      </w:r>
      <w:r w:rsidR="003D3D4A">
        <w:rPr>
          <w:rFonts w:asciiTheme="majorHAnsi" w:eastAsia="Times New Roman" w:hAnsiTheme="majorHAnsi" w:cs="Times New Roman"/>
        </w:rPr>
        <w:t>creases Effort”, Journal of Institutional and Theoretical Economics, 168(</w:t>
      </w:r>
      <w:r w:rsidR="00376618">
        <w:rPr>
          <w:rFonts w:asciiTheme="majorHAnsi" w:eastAsia="Times New Roman" w:hAnsiTheme="majorHAnsi" w:cs="Times New Roman"/>
        </w:rPr>
        <w:t>1</w:t>
      </w:r>
      <w:r w:rsidR="003D3D4A">
        <w:rPr>
          <w:rFonts w:asciiTheme="majorHAnsi" w:eastAsia="Times New Roman" w:hAnsiTheme="majorHAnsi" w:cs="Times New Roman"/>
        </w:rPr>
        <w:t>): 62-82.</w:t>
      </w:r>
    </w:p>
    <w:p w14:paraId="7B1CE100" w14:textId="1E4876BF" w:rsidR="00E17DE9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13</w:t>
      </w:r>
      <w:r w:rsidR="003D3D4A">
        <w:rPr>
          <w:rFonts w:asciiTheme="majorHAnsi" w:eastAsia="Times New Roman" w:hAnsiTheme="majorHAnsi" w:cs="Times New Roman"/>
        </w:rPr>
        <w:t>)</w:t>
      </w:r>
      <w:r w:rsidR="003D3D4A">
        <w:rPr>
          <w:rFonts w:asciiTheme="majorHAnsi" w:eastAsia="Times New Roman" w:hAnsiTheme="majorHAnsi" w:cs="Times New Roman"/>
        </w:rPr>
        <w:tab/>
        <w:t xml:space="preserve">Hossain, T., and J. List (2012), “The </w:t>
      </w:r>
      <w:proofErr w:type="spellStart"/>
      <w:r w:rsidR="003D3D4A">
        <w:rPr>
          <w:rFonts w:asciiTheme="majorHAnsi" w:eastAsia="Times New Roman" w:hAnsiTheme="majorHAnsi" w:cs="Times New Roman"/>
        </w:rPr>
        <w:t>Behavioralist</w:t>
      </w:r>
      <w:proofErr w:type="spellEnd"/>
      <w:r w:rsidR="003D3D4A">
        <w:rPr>
          <w:rFonts w:asciiTheme="majorHAnsi" w:eastAsia="Times New Roman" w:hAnsiTheme="majorHAnsi" w:cs="Times New Roman"/>
        </w:rPr>
        <w:t xml:space="preserve"> Visits the Factory: Increasing Productivity Using Simple Framing Manipulations”, Management Science, 58(12): 2151-2167.</w:t>
      </w:r>
    </w:p>
    <w:p w14:paraId="3BCA4947" w14:textId="6C1197F0" w:rsidR="00376618" w:rsidRDefault="007E661C" w:rsidP="00376618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Times New Roman"/>
        </w:rPr>
        <w:t>14</w:t>
      </w:r>
      <w:r w:rsidR="00376618">
        <w:rPr>
          <w:rFonts w:asciiTheme="majorHAnsi" w:eastAsia="Times New Roman" w:hAnsiTheme="majorHAnsi" w:cs="Times New Roman"/>
        </w:rPr>
        <w:t>)</w:t>
      </w:r>
      <w:r w:rsidR="00376618">
        <w:rPr>
          <w:rFonts w:asciiTheme="majorHAnsi" w:eastAsia="Times New Roman" w:hAnsiTheme="majorHAnsi" w:cs="Times New Roman"/>
        </w:rPr>
        <w:tab/>
        <w:t xml:space="preserve">Brooks, R. R. W., A. </w:t>
      </w:r>
      <w:proofErr w:type="spellStart"/>
      <w:r w:rsidR="00376618">
        <w:rPr>
          <w:rFonts w:asciiTheme="majorHAnsi" w:eastAsia="Times New Roman" w:hAnsiTheme="majorHAnsi" w:cs="Times New Roman"/>
        </w:rPr>
        <w:t>Stremitzer</w:t>
      </w:r>
      <w:proofErr w:type="spellEnd"/>
      <w:r w:rsidR="00376618">
        <w:rPr>
          <w:rFonts w:asciiTheme="majorHAnsi" w:eastAsia="Times New Roman" w:hAnsiTheme="majorHAnsi" w:cs="Times New Roman"/>
        </w:rPr>
        <w:t xml:space="preserve">, and S. </w:t>
      </w:r>
      <w:proofErr w:type="spellStart"/>
      <w:r w:rsidR="00376618">
        <w:rPr>
          <w:rFonts w:asciiTheme="majorHAnsi" w:eastAsia="Times New Roman" w:hAnsiTheme="majorHAnsi" w:cs="Times New Roman"/>
        </w:rPr>
        <w:t>Tontrup</w:t>
      </w:r>
      <w:proofErr w:type="spellEnd"/>
      <w:r w:rsidR="00376618">
        <w:rPr>
          <w:rFonts w:asciiTheme="majorHAnsi" w:eastAsia="Times New Roman" w:hAnsiTheme="majorHAnsi" w:cs="Times New Roman"/>
        </w:rPr>
        <w:t xml:space="preserve"> (2014), “Stretch it but Don’t Break It: The Hidden Cost of Contract Framing”, Working Paper, available online </w:t>
      </w:r>
      <w:r w:rsidR="00376618" w:rsidRPr="00376618">
        <w:rPr>
          <w:rFonts w:asciiTheme="majorHAnsi" w:eastAsia="Times New Roman" w:hAnsiTheme="majorHAnsi" w:cs="Times New Roman"/>
        </w:rPr>
        <w:t xml:space="preserve">at: </w:t>
      </w:r>
      <w:r w:rsidR="00376618" w:rsidRPr="00376618">
        <w:rPr>
          <w:rFonts w:asciiTheme="majorHAnsi" w:eastAsia="Times New Roman" w:hAnsiTheme="majorHAnsi" w:cs="Arial"/>
        </w:rPr>
        <w:t>http://ssrn.com/abstract=2353733</w:t>
      </w:r>
    </w:p>
    <w:p w14:paraId="61F639A1" w14:textId="3BFD4490" w:rsidR="006D7E17" w:rsidRDefault="007E661C" w:rsidP="00376618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15</w:t>
      </w:r>
      <w:r w:rsidR="006D7E17" w:rsidRPr="006D7E17">
        <w:rPr>
          <w:rFonts w:asciiTheme="majorHAnsi" w:eastAsia="Times New Roman" w:hAnsiTheme="majorHAnsi" w:cs="Times New Roman"/>
        </w:rPr>
        <w:t>)</w:t>
      </w:r>
      <w:r w:rsidR="006D7E17" w:rsidRPr="006D7E17">
        <w:rPr>
          <w:rFonts w:asciiTheme="majorHAnsi" w:eastAsia="Times New Roman" w:hAnsiTheme="majorHAnsi" w:cs="Times New Roman"/>
        </w:rPr>
        <w:tab/>
      </w:r>
      <w:proofErr w:type="spellStart"/>
      <w:r w:rsidR="006D7E17">
        <w:rPr>
          <w:rFonts w:asciiTheme="majorHAnsi" w:eastAsia="Times New Roman" w:hAnsiTheme="majorHAnsi" w:cs="Times New Roman"/>
        </w:rPr>
        <w:t>Gneezy</w:t>
      </w:r>
      <w:proofErr w:type="spellEnd"/>
      <w:r w:rsidR="006D7E17">
        <w:rPr>
          <w:rFonts w:asciiTheme="majorHAnsi" w:eastAsia="Times New Roman" w:hAnsiTheme="majorHAnsi" w:cs="Times New Roman"/>
        </w:rPr>
        <w:t>, U. and P. Rey-Biel (2014), “On the Relative Efficiency of Performance Pay and Non-contingent Incentives”, Journal of the European Economic Association, 12(1): 62-72.</w:t>
      </w:r>
    </w:p>
    <w:p w14:paraId="5B3445C3" w14:textId="77777777" w:rsidR="00E17DE9" w:rsidRDefault="00E17DE9" w:rsidP="00376618">
      <w:pPr>
        <w:tabs>
          <w:tab w:val="left" w:pos="454"/>
        </w:tabs>
        <w:spacing w:after="120" w:line="276" w:lineRule="auto"/>
        <w:jc w:val="both"/>
        <w:rPr>
          <w:rFonts w:asciiTheme="majorHAnsi" w:hAnsiTheme="majorHAnsi"/>
        </w:rPr>
      </w:pPr>
    </w:p>
    <w:p w14:paraId="27F56D9C" w14:textId="68ECF8B4" w:rsidR="002D5BCB" w:rsidRPr="0049328C" w:rsidRDefault="0049328C" w:rsidP="002D5BCB">
      <w:pPr>
        <w:tabs>
          <w:tab w:val="left" w:pos="454"/>
        </w:tabs>
        <w:spacing w:after="120" w:line="276" w:lineRule="auto"/>
        <w:ind w:left="907" w:hanging="907"/>
        <w:jc w:val="both"/>
        <w:rPr>
          <w:rFonts w:asciiTheme="majorHAnsi" w:hAnsiTheme="majorHAnsi"/>
          <w:sz w:val="24"/>
          <w:szCs w:val="24"/>
        </w:rPr>
      </w:pPr>
      <w:r w:rsidRPr="0049328C">
        <w:rPr>
          <w:rFonts w:asciiTheme="majorHAnsi" w:hAnsiTheme="majorHAnsi"/>
          <w:b/>
          <w:sz w:val="24"/>
          <w:szCs w:val="24"/>
        </w:rPr>
        <w:lastRenderedPageBreak/>
        <w:t>III.</w:t>
      </w:r>
      <w:r w:rsidRPr="0049328C">
        <w:rPr>
          <w:rFonts w:asciiTheme="majorHAnsi" w:hAnsiTheme="majorHAnsi"/>
          <w:b/>
          <w:sz w:val="24"/>
          <w:szCs w:val="24"/>
        </w:rPr>
        <w:tab/>
      </w:r>
      <w:r w:rsidR="002D5BCB" w:rsidRPr="0049328C">
        <w:rPr>
          <w:rFonts w:asciiTheme="majorHAnsi" w:hAnsiTheme="majorHAnsi"/>
          <w:b/>
          <w:sz w:val="24"/>
          <w:szCs w:val="24"/>
        </w:rPr>
        <w:t>Behavioral Effects of Remedies</w:t>
      </w:r>
    </w:p>
    <w:p w14:paraId="0F1E2345" w14:textId="64AEFB90" w:rsidR="003D3D4A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="003D3D4A">
        <w:rPr>
          <w:rFonts w:asciiTheme="majorHAnsi" w:hAnsiTheme="majorHAnsi"/>
        </w:rPr>
        <w:t>)</w:t>
      </w:r>
      <w:r w:rsidR="003D3D4A">
        <w:rPr>
          <w:rFonts w:asciiTheme="majorHAnsi" w:hAnsiTheme="majorHAnsi"/>
        </w:rPr>
        <w:tab/>
      </w:r>
      <w:proofErr w:type="spellStart"/>
      <w:r w:rsidR="003D3D4A">
        <w:rPr>
          <w:rFonts w:asciiTheme="majorHAnsi" w:hAnsiTheme="majorHAnsi"/>
        </w:rPr>
        <w:t>Brandts</w:t>
      </w:r>
      <w:proofErr w:type="spellEnd"/>
      <w:r w:rsidR="003D3D4A">
        <w:rPr>
          <w:rFonts w:asciiTheme="majorHAnsi" w:hAnsiTheme="majorHAnsi"/>
        </w:rPr>
        <w:t xml:space="preserve">, J., and G. </w:t>
      </w:r>
      <w:proofErr w:type="spellStart"/>
      <w:r w:rsidR="003D3D4A">
        <w:rPr>
          <w:rFonts w:asciiTheme="majorHAnsi" w:hAnsiTheme="majorHAnsi"/>
        </w:rPr>
        <w:t>Charness</w:t>
      </w:r>
      <w:proofErr w:type="spellEnd"/>
      <w:r w:rsidR="003D3D4A">
        <w:rPr>
          <w:rFonts w:asciiTheme="majorHAnsi" w:hAnsiTheme="majorHAnsi"/>
        </w:rPr>
        <w:t xml:space="preserve"> (2003), “Truth or Consequences: An Experiment”, Management Sc</w:t>
      </w:r>
      <w:r w:rsidR="003D3D4A">
        <w:rPr>
          <w:rFonts w:asciiTheme="majorHAnsi" w:hAnsiTheme="majorHAnsi"/>
        </w:rPr>
        <w:t>i</w:t>
      </w:r>
      <w:r w:rsidR="003D3D4A">
        <w:rPr>
          <w:rFonts w:asciiTheme="majorHAnsi" w:hAnsiTheme="majorHAnsi"/>
        </w:rPr>
        <w:t>ence, 49(1): 116-130.</w:t>
      </w:r>
    </w:p>
    <w:p w14:paraId="0D7ACDF8" w14:textId="72D580B8" w:rsidR="002D5BCB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Arial"/>
        </w:rPr>
      </w:pPr>
      <w:r>
        <w:rPr>
          <w:rFonts w:asciiTheme="majorHAnsi" w:hAnsiTheme="majorHAnsi"/>
        </w:rPr>
        <w:t>17</w:t>
      </w:r>
      <w:r w:rsidR="005B10FE">
        <w:rPr>
          <w:rFonts w:asciiTheme="majorHAnsi" w:hAnsiTheme="majorHAnsi"/>
        </w:rPr>
        <w:t>)</w:t>
      </w:r>
      <w:r w:rsidR="005B10FE">
        <w:rPr>
          <w:rFonts w:asciiTheme="majorHAnsi" w:hAnsiTheme="majorHAnsi"/>
        </w:rPr>
        <w:tab/>
        <w:t>Wilki</w:t>
      </w:r>
      <w:r w:rsidR="002D5BCB">
        <w:rPr>
          <w:rFonts w:asciiTheme="majorHAnsi" w:hAnsiTheme="majorHAnsi"/>
        </w:rPr>
        <w:t>nson-Ryan, T. (2010), “Do Liquidated Damages Encourage Breach? A Psychological Exper</w:t>
      </w:r>
      <w:r w:rsidR="002D5BCB">
        <w:rPr>
          <w:rFonts w:asciiTheme="majorHAnsi" w:hAnsiTheme="majorHAnsi"/>
        </w:rPr>
        <w:t>i</w:t>
      </w:r>
      <w:r w:rsidR="002D5BCB">
        <w:rPr>
          <w:rFonts w:asciiTheme="majorHAnsi" w:hAnsiTheme="majorHAnsi"/>
        </w:rPr>
        <w:t>ment”, Michigan Law Review, 108: 633-671.</w:t>
      </w:r>
      <w:r w:rsidR="002D5BCB">
        <w:rPr>
          <w:rFonts w:asciiTheme="majorHAnsi" w:eastAsia="Times New Roman" w:hAnsiTheme="majorHAnsi" w:cs="Arial"/>
        </w:rPr>
        <w:t xml:space="preserve"> </w:t>
      </w:r>
    </w:p>
    <w:p w14:paraId="45054CA7" w14:textId="21C79188" w:rsidR="00336FA5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336FA5">
        <w:rPr>
          <w:rFonts w:asciiTheme="majorHAnsi" w:hAnsiTheme="majorHAnsi"/>
        </w:rPr>
        <w:t>)</w:t>
      </w:r>
      <w:r w:rsidR="00336FA5">
        <w:rPr>
          <w:rFonts w:asciiTheme="majorHAnsi" w:hAnsiTheme="majorHAnsi"/>
        </w:rPr>
        <w:tab/>
      </w:r>
      <w:proofErr w:type="spellStart"/>
      <w:r w:rsidR="00336FA5">
        <w:rPr>
          <w:rFonts w:asciiTheme="majorHAnsi" w:hAnsiTheme="majorHAnsi"/>
        </w:rPr>
        <w:t>Depoorter</w:t>
      </w:r>
      <w:proofErr w:type="spellEnd"/>
      <w:r w:rsidR="00336FA5">
        <w:rPr>
          <w:rFonts w:asciiTheme="majorHAnsi" w:hAnsiTheme="majorHAnsi"/>
        </w:rPr>
        <w:t xml:space="preserve">, B., and S. </w:t>
      </w:r>
      <w:proofErr w:type="spellStart"/>
      <w:r w:rsidR="00336FA5">
        <w:rPr>
          <w:rFonts w:asciiTheme="majorHAnsi" w:hAnsiTheme="majorHAnsi"/>
        </w:rPr>
        <w:t>Tontrup</w:t>
      </w:r>
      <w:proofErr w:type="spellEnd"/>
      <w:r w:rsidR="00336FA5">
        <w:rPr>
          <w:rFonts w:asciiTheme="majorHAnsi" w:hAnsiTheme="majorHAnsi"/>
        </w:rPr>
        <w:t xml:space="preserve"> (2012), “How Law Frames Moral Intuitions: The Expressive Effect of Specific Performance”, Arizona Law Review, 54(3): 673-717.</w:t>
      </w:r>
    </w:p>
    <w:p w14:paraId="269C945B" w14:textId="48497EE6" w:rsidR="002D5BCB" w:rsidRDefault="007E661C" w:rsidP="00E17DE9">
      <w:pPr>
        <w:tabs>
          <w:tab w:val="left" w:pos="454"/>
        </w:tabs>
        <w:spacing w:after="120" w:line="276" w:lineRule="auto"/>
        <w:ind w:left="907" w:hanging="907"/>
        <w:rPr>
          <w:rFonts w:asciiTheme="majorHAnsi" w:eastAsia="Times New Roman" w:hAnsiTheme="majorHAnsi" w:cs="Arial"/>
        </w:rPr>
      </w:pPr>
      <w:r>
        <w:rPr>
          <w:rFonts w:asciiTheme="majorHAnsi" w:hAnsiTheme="majorHAnsi"/>
        </w:rPr>
        <w:t>19</w:t>
      </w:r>
      <w:r w:rsidR="005B10FE">
        <w:rPr>
          <w:rFonts w:asciiTheme="majorHAnsi" w:hAnsiTheme="majorHAnsi"/>
        </w:rPr>
        <w:t>)</w:t>
      </w:r>
      <w:r w:rsidR="005B10FE">
        <w:rPr>
          <w:rFonts w:asciiTheme="majorHAnsi" w:hAnsiTheme="majorHAnsi"/>
        </w:rPr>
        <w:tab/>
        <w:t>Wilki</w:t>
      </w:r>
      <w:r w:rsidR="00336FA5">
        <w:rPr>
          <w:rFonts w:asciiTheme="majorHAnsi" w:hAnsiTheme="majorHAnsi"/>
        </w:rPr>
        <w:t>nson-Ryan, T. (2015), “Incentives to Breach”, American Law and Economics Review, 17(1): 290-311.</w:t>
      </w:r>
    </w:p>
    <w:p w14:paraId="168640F8" w14:textId="77777777" w:rsidR="002D5BCB" w:rsidRDefault="002D5BCB" w:rsidP="002D5BCB">
      <w:pPr>
        <w:tabs>
          <w:tab w:val="left" w:pos="454"/>
        </w:tabs>
        <w:spacing w:after="120" w:line="276" w:lineRule="auto"/>
        <w:ind w:left="907" w:hanging="907"/>
        <w:jc w:val="both"/>
        <w:rPr>
          <w:rFonts w:asciiTheme="majorHAnsi" w:hAnsiTheme="majorHAnsi"/>
        </w:rPr>
      </w:pPr>
    </w:p>
    <w:p w14:paraId="53FB2074" w14:textId="660DF5A5" w:rsidR="00376618" w:rsidRPr="0049328C" w:rsidRDefault="0049328C" w:rsidP="002D5BCB">
      <w:pPr>
        <w:tabs>
          <w:tab w:val="left" w:pos="454"/>
        </w:tabs>
        <w:spacing w:after="120" w:line="276" w:lineRule="auto"/>
        <w:ind w:left="907" w:hanging="907"/>
        <w:jc w:val="both"/>
        <w:rPr>
          <w:rFonts w:asciiTheme="majorHAnsi" w:hAnsiTheme="majorHAnsi"/>
          <w:sz w:val="24"/>
          <w:szCs w:val="24"/>
        </w:rPr>
      </w:pPr>
      <w:r w:rsidRPr="0049328C">
        <w:rPr>
          <w:rFonts w:asciiTheme="majorHAnsi" w:hAnsiTheme="majorHAnsi"/>
          <w:b/>
          <w:sz w:val="24"/>
          <w:szCs w:val="24"/>
        </w:rPr>
        <w:t>IV.</w:t>
      </w:r>
      <w:r w:rsidRPr="0049328C">
        <w:rPr>
          <w:rFonts w:asciiTheme="majorHAnsi" w:hAnsiTheme="majorHAnsi"/>
          <w:b/>
          <w:sz w:val="24"/>
          <w:szCs w:val="24"/>
        </w:rPr>
        <w:tab/>
      </w:r>
      <w:r w:rsidR="00376618" w:rsidRPr="0049328C">
        <w:rPr>
          <w:rFonts w:asciiTheme="majorHAnsi" w:hAnsiTheme="majorHAnsi"/>
          <w:b/>
          <w:sz w:val="24"/>
          <w:szCs w:val="24"/>
        </w:rPr>
        <w:t>Contracts and Renegotiation</w:t>
      </w:r>
    </w:p>
    <w:p w14:paraId="6418EF29" w14:textId="56C1B060" w:rsidR="00376618" w:rsidRDefault="007E661C" w:rsidP="002D5BCB">
      <w:pPr>
        <w:tabs>
          <w:tab w:val="left" w:pos="454"/>
        </w:tabs>
        <w:spacing w:after="120" w:line="276" w:lineRule="auto"/>
        <w:ind w:left="907" w:hanging="9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809BA">
        <w:rPr>
          <w:rFonts w:asciiTheme="majorHAnsi" w:hAnsiTheme="majorHAnsi"/>
        </w:rPr>
        <w:t>)</w:t>
      </w:r>
      <w:r w:rsidR="009809BA">
        <w:rPr>
          <w:rFonts w:asciiTheme="majorHAnsi" w:hAnsiTheme="majorHAnsi"/>
        </w:rPr>
        <w:tab/>
      </w:r>
      <w:proofErr w:type="spellStart"/>
      <w:r w:rsidR="009809BA">
        <w:rPr>
          <w:rFonts w:asciiTheme="majorHAnsi" w:hAnsiTheme="majorHAnsi"/>
        </w:rPr>
        <w:t>Bartling</w:t>
      </w:r>
      <w:proofErr w:type="spellEnd"/>
      <w:r w:rsidR="009809BA">
        <w:rPr>
          <w:rFonts w:asciiTheme="majorHAnsi" w:hAnsiTheme="majorHAnsi"/>
        </w:rPr>
        <w:t>, B., and K. M. Schmidt (2014), “Reference Points, Social Norms, and Fairness in Contract Renegotiations”, Working Paper (forthcoming in the Journal of the European Economic Ass</w:t>
      </w:r>
      <w:r w:rsidR="009809BA">
        <w:rPr>
          <w:rFonts w:asciiTheme="majorHAnsi" w:hAnsiTheme="majorHAnsi"/>
        </w:rPr>
        <w:t>o</w:t>
      </w:r>
      <w:r w:rsidR="009809BA">
        <w:rPr>
          <w:rFonts w:asciiTheme="majorHAnsi" w:hAnsiTheme="majorHAnsi"/>
        </w:rPr>
        <w:t xml:space="preserve">ciation), available online at: </w:t>
      </w:r>
      <w:r w:rsidR="009809BA" w:rsidRPr="009809BA">
        <w:rPr>
          <w:rFonts w:asciiTheme="majorHAnsi" w:hAnsiTheme="majorHAnsi"/>
        </w:rPr>
        <w:t>http://ssrn.com/abstract=2123387</w:t>
      </w:r>
    </w:p>
    <w:p w14:paraId="3850520F" w14:textId="6F9B9040" w:rsidR="002D5BCB" w:rsidRDefault="007E661C" w:rsidP="009809BA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9809BA">
        <w:rPr>
          <w:rFonts w:asciiTheme="majorHAnsi" w:hAnsiTheme="majorHAnsi"/>
        </w:rPr>
        <w:t>)</w:t>
      </w:r>
      <w:r w:rsidR="009809BA">
        <w:rPr>
          <w:rFonts w:asciiTheme="majorHAnsi" w:hAnsiTheme="majorHAnsi"/>
        </w:rPr>
        <w:tab/>
      </w:r>
      <w:proofErr w:type="spellStart"/>
      <w:r w:rsidR="009809BA">
        <w:rPr>
          <w:rFonts w:asciiTheme="majorHAnsi" w:hAnsiTheme="majorHAnsi"/>
        </w:rPr>
        <w:t>Iyer</w:t>
      </w:r>
      <w:proofErr w:type="spellEnd"/>
      <w:r w:rsidR="009809BA">
        <w:rPr>
          <w:rFonts w:asciiTheme="majorHAnsi" w:hAnsiTheme="majorHAnsi"/>
        </w:rPr>
        <w:t xml:space="preserve">, R., and A. </w:t>
      </w:r>
      <w:proofErr w:type="spellStart"/>
      <w:r w:rsidR="009809BA">
        <w:rPr>
          <w:rFonts w:asciiTheme="majorHAnsi" w:hAnsiTheme="majorHAnsi"/>
        </w:rPr>
        <w:t>Schoar</w:t>
      </w:r>
      <w:proofErr w:type="spellEnd"/>
      <w:r w:rsidR="009809BA">
        <w:rPr>
          <w:rFonts w:asciiTheme="majorHAnsi" w:hAnsiTheme="majorHAnsi"/>
        </w:rPr>
        <w:t xml:space="preserve"> (2016), “Incomplete Contracts and Renegotiation: Evidence from a Field A</w:t>
      </w:r>
      <w:r w:rsidR="009809BA">
        <w:rPr>
          <w:rFonts w:asciiTheme="majorHAnsi" w:hAnsiTheme="majorHAnsi"/>
        </w:rPr>
        <w:t>u</w:t>
      </w:r>
      <w:r w:rsidR="009809BA">
        <w:rPr>
          <w:rFonts w:asciiTheme="majorHAnsi" w:hAnsiTheme="majorHAnsi"/>
        </w:rPr>
        <w:t xml:space="preserve">dit”, Working Paper, available online at: </w:t>
      </w:r>
      <w:r w:rsidR="009809BA" w:rsidRPr="009809BA">
        <w:rPr>
          <w:rFonts w:asciiTheme="majorHAnsi" w:hAnsiTheme="majorHAnsi"/>
        </w:rPr>
        <w:t>http://mitsloan.mit.edu/media/Schoar_IncompleteContracts.pdf</w:t>
      </w:r>
    </w:p>
    <w:p w14:paraId="7F3D92C2" w14:textId="4043BEB9" w:rsidR="005A6267" w:rsidRPr="0063226B" w:rsidRDefault="007E661C" w:rsidP="00804696">
      <w:pPr>
        <w:tabs>
          <w:tab w:val="left" w:pos="454"/>
        </w:tabs>
        <w:spacing w:after="120" w:line="276" w:lineRule="auto"/>
        <w:ind w:left="907" w:hanging="907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3F0D9F">
        <w:rPr>
          <w:rFonts w:asciiTheme="majorHAnsi" w:hAnsiTheme="majorHAnsi"/>
        </w:rPr>
        <w:t>)</w:t>
      </w:r>
      <w:r w:rsidR="003F0D9F">
        <w:rPr>
          <w:rFonts w:asciiTheme="majorHAnsi" w:hAnsiTheme="majorHAnsi"/>
        </w:rPr>
        <w:tab/>
      </w:r>
      <w:proofErr w:type="spellStart"/>
      <w:r w:rsidR="003F0D9F">
        <w:rPr>
          <w:rFonts w:asciiTheme="majorHAnsi" w:hAnsiTheme="majorHAnsi"/>
        </w:rPr>
        <w:t>Landeo</w:t>
      </w:r>
      <w:proofErr w:type="spellEnd"/>
      <w:r w:rsidR="003F0D9F">
        <w:rPr>
          <w:rFonts w:asciiTheme="majorHAnsi" w:hAnsiTheme="majorHAnsi"/>
        </w:rPr>
        <w:t xml:space="preserve">, C. M., and K. </w:t>
      </w:r>
      <w:proofErr w:type="spellStart"/>
      <w:r w:rsidR="003F0D9F">
        <w:rPr>
          <w:rFonts w:asciiTheme="majorHAnsi" w:hAnsiTheme="majorHAnsi"/>
        </w:rPr>
        <w:t>Spier</w:t>
      </w:r>
      <w:proofErr w:type="spellEnd"/>
      <w:r w:rsidR="003F0D9F">
        <w:rPr>
          <w:rFonts w:asciiTheme="majorHAnsi" w:hAnsiTheme="majorHAnsi"/>
        </w:rPr>
        <w:t xml:space="preserve"> </w:t>
      </w:r>
      <w:r w:rsidR="007A020A">
        <w:rPr>
          <w:rFonts w:asciiTheme="majorHAnsi" w:hAnsiTheme="majorHAnsi"/>
        </w:rPr>
        <w:t>(2016), “Stipulated Damages as a Rent-Extraction Mechanism: Exper</w:t>
      </w:r>
      <w:r w:rsidR="007A020A">
        <w:rPr>
          <w:rFonts w:asciiTheme="majorHAnsi" w:hAnsiTheme="majorHAnsi"/>
        </w:rPr>
        <w:t>i</w:t>
      </w:r>
      <w:r w:rsidR="007A020A">
        <w:rPr>
          <w:rFonts w:asciiTheme="majorHAnsi" w:hAnsiTheme="majorHAnsi"/>
        </w:rPr>
        <w:t>mental Evidence</w:t>
      </w:r>
      <w:r w:rsidR="003F0D9F">
        <w:rPr>
          <w:rFonts w:asciiTheme="majorHAnsi" w:hAnsiTheme="majorHAnsi"/>
        </w:rPr>
        <w:t>”</w:t>
      </w:r>
      <w:r w:rsidR="007A020A">
        <w:rPr>
          <w:rFonts w:asciiTheme="majorHAnsi" w:hAnsiTheme="majorHAnsi"/>
        </w:rPr>
        <w:t xml:space="preserve">, Journal of Institutional and Theoretical Economics (forthcoming), available online at: </w:t>
      </w:r>
      <w:r w:rsidR="007A020A">
        <w:rPr>
          <w:rFonts w:asciiTheme="majorHAnsi" w:hAnsiTheme="majorHAnsi"/>
        </w:rPr>
        <w:br/>
      </w:r>
      <w:r w:rsidR="007A020A" w:rsidRPr="007A020A">
        <w:rPr>
          <w:rFonts w:asciiTheme="majorHAnsi" w:hAnsiTheme="majorHAnsi"/>
        </w:rPr>
        <w:t>http://www.ingentaconnect.com/content/mohr/jite/pre-prints/content-JITE-ID1773</w:t>
      </w:r>
    </w:p>
    <w:p w14:paraId="78341841" w14:textId="32505FCF" w:rsidR="005A6267" w:rsidRPr="005A6267" w:rsidRDefault="00DF4F1F" w:rsidP="00E77684">
      <w:pPr>
        <w:spacing w:after="120" w:line="276" w:lineRule="auto"/>
        <w:jc w:val="both"/>
        <w:rPr>
          <w:rFonts w:asciiTheme="majorHAnsi" w:hAnsiTheme="majorHAnsi"/>
          <w:sz w:val="28"/>
          <w:szCs w:val="28"/>
          <w:lang w:val="de-DE"/>
        </w:rPr>
      </w:pPr>
      <w:r>
        <w:rPr>
          <w:rFonts w:asciiTheme="majorHAnsi" w:hAnsiTheme="majorHAnsi"/>
          <w:b/>
          <w:color w:val="4A657D"/>
          <w:sz w:val="28"/>
          <w:szCs w:val="28"/>
          <w:lang w:val="de-DE"/>
        </w:rPr>
        <w:t>Anforderungen und</w:t>
      </w:r>
      <w:r w:rsidR="005A6267">
        <w:rPr>
          <w:rFonts w:asciiTheme="majorHAnsi" w:hAnsiTheme="majorHAnsi"/>
          <w:b/>
          <w:color w:val="4A657D"/>
          <w:sz w:val="28"/>
          <w:szCs w:val="28"/>
          <w:lang w:val="de-DE"/>
        </w:rPr>
        <w:t xml:space="preserve"> </w:t>
      </w:r>
      <w:r w:rsidR="005A6267" w:rsidRPr="005A6267">
        <w:rPr>
          <w:rFonts w:asciiTheme="majorHAnsi" w:hAnsiTheme="majorHAnsi"/>
          <w:b/>
          <w:color w:val="4A657D"/>
          <w:sz w:val="28"/>
          <w:szCs w:val="28"/>
          <w:lang w:val="de-DE"/>
        </w:rPr>
        <w:t>Bewertung</w:t>
      </w:r>
    </w:p>
    <w:p w14:paraId="3D8B065B" w14:textId="2CB1E8FB" w:rsidR="00181126" w:rsidRDefault="00DF4F1F" w:rsidP="00E77684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DF4F1F">
        <w:rPr>
          <w:rFonts w:asciiTheme="majorHAnsi" w:hAnsiTheme="majorHAnsi"/>
          <w:sz w:val="24"/>
          <w:szCs w:val="24"/>
          <w:lang w:val="de-DE"/>
        </w:rPr>
        <w:t xml:space="preserve">Von den Teilnehmern wird erwartet, die jeweiligen Termine aktiv mitzugestalten. </w:t>
      </w:r>
      <w:r>
        <w:rPr>
          <w:rFonts w:asciiTheme="majorHAnsi" w:hAnsiTheme="majorHAnsi"/>
          <w:sz w:val="24"/>
          <w:szCs w:val="24"/>
          <w:lang w:val="de-DE"/>
        </w:rPr>
        <w:t>Jeder Tei</w:t>
      </w:r>
      <w:r>
        <w:rPr>
          <w:rFonts w:asciiTheme="majorHAnsi" w:hAnsiTheme="majorHAnsi"/>
          <w:sz w:val="24"/>
          <w:szCs w:val="24"/>
          <w:lang w:val="de-DE"/>
        </w:rPr>
        <w:t>l</w:t>
      </w:r>
      <w:r>
        <w:rPr>
          <w:rFonts w:asciiTheme="majorHAnsi" w:hAnsiTheme="majorHAnsi"/>
          <w:sz w:val="24"/>
          <w:szCs w:val="24"/>
          <w:lang w:val="de-DE"/>
        </w:rPr>
        <w:t xml:space="preserve">nehmer wird einen der Artikel in einer Präsentation vorstellen und diskutieren. </w:t>
      </w:r>
      <w:r w:rsidR="007E661C">
        <w:rPr>
          <w:rFonts w:asciiTheme="majorHAnsi" w:hAnsiTheme="majorHAnsi"/>
          <w:sz w:val="24"/>
          <w:szCs w:val="24"/>
          <w:lang w:val="de-DE"/>
        </w:rPr>
        <w:t xml:space="preserve">Auf Basis der Präsentation wird schließlich eine Seminararbeit eingereicht. </w:t>
      </w:r>
      <w:r w:rsidR="00804696">
        <w:rPr>
          <w:rFonts w:asciiTheme="majorHAnsi" w:hAnsiTheme="majorHAnsi"/>
          <w:sz w:val="24"/>
          <w:szCs w:val="24"/>
          <w:lang w:val="de-DE"/>
        </w:rPr>
        <w:t xml:space="preserve">Formale Anforderungen an die Seminararbeit werden im Kick-off Meeting besprochen. Die Teilnahme an der Einführung in die Literaturrecherche ist verpflichtend.  </w:t>
      </w:r>
    </w:p>
    <w:p w14:paraId="462F8A7F" w14:textId="0BA38AC9" w:rsidR="007E661C" w:rsidRDefault="007E661C" w:rsidP="00E77684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Schließlich soll jeder Teilnehmer während des Semesters ein „Ideen-Protokoll“ schreiben, </w:t>
      </w:r>
      <w:r w:rsidR="00181126">
        <w:rPr>
          <w:rFonts w:asciiTheme="majorHAnsi" w:hAnsiTheme="majorHAnsi"/>
          <w:sz w:val="24"/>
          <w:szCs w:val="24"/>
          <w:lang w:val="de-DE"/>
        </w:rPr>
        <w:t>i</w:t>
      </w:r>
      <w:r w:rsidR="00181126">
        <w:rPr>
          <w:rFonts w:asciiTheme="majorHAnsi" w:hAnsiTheme="majorHAnsi"/>
          <w:sz w:val="24"/>
          <w:szCs w:val="24"/>
          <w:lang w:val="de-DE"/>
        </w:rPr>
        <w:t>n</w:t>
      </w:r>
      <w:r w:rsidR="00181126">
        <w:rPr>
          <w:rFonts w:asciiTheme="majorHAnsi" w:hAnsiTheme="majorHAnsi"/>
          <w:sz w:val="24"/>
          <w:szCs w:val="24"/>
          <w:lang w:val="de-DE"/>
        </w:rPr>
        <w:t>dem eigene neue Ideen stichpunktartig festgehalten werden. Es handelt sich also um eine Art Tagebuch mit kleinen Forschungsideen und intelligenten Beobachtungen, die im Zusamme</w:t>
      </w:r>
      <w:r w:rsidR="00181126">
        <w:rPr>
          <w:rFonts w:asciiTheme="majorHAnsi" w:hAnsiTheme="majorHAnsi"/>
          <w:sz w:val="24"/>
          <w:szCs w:val="24"/>
          <w:lang w:val="de-DE"/>
        </w:rPr>
        <w:t>n</w:t>
      </w:r>
      <w:r w:rsidR="00181126">
        <w:rPr>
          <w:rFonts w:asciiTheme="majorHAnsi" w:hAnsiTheme="majorHAnsi"/>
          <w:sz w:val="24"/>
          <w:szCs w:val="24"/>
          <w:lang w:val="de-DE"/>
        </w:rPr>
        <w:t>hang mit den besprochenen Themen stehen. Es muss sich nicht um ein ausgeklügeltes Fo</w:t>
      </w:r>
      <w:r w:rsidR="00181126">
        <w:rPr>
          <w:rFonts w:asciiTheme="majorHAnsi" w:hAnsiTheme="majorHAnsi"/>
          <w:sz w:val="24"/>
          <w:szCs w:val="24"/>
          <w:lang w:val="de-DE"/>
        </w:rPr>
        <w:t>r</w:t>
      </w:r>
      <w:r w:rsidR="00181126">
        <w:rPr>
          <w:rFonts w:asciiTheme="majorHAnsi" w:hAnsiTheme="majorHAnsi"/>
          <w:sz w:val="24"/>
          <w:szCs w:val="24"/>
          <w:lang w:val="de-DE"/>
        </w:rPr>
        <w:t>schungsprojekt handeln. Dieses Ideen-Protokoll soll den Teilnehmern helfen, potenzielle Th</w:t>
      </w:r>
      <w:r w:rsidR="00181126">
        <w:rPr>
          <w:rFonts w:asciiTheme="majorHAnsi" w:hAnsiTheme="majorHAnsi"/>
          <w:sz w:val="24"/>
          <w:szCs w:val="24"/>
          <w:lang w:val="de-DE"/>
        </w:rPr>
        <w:t>e</w:t>
      </w:r>
      <w:r w:rsidR="00181126">
        <w:rPr>
          <w:rFonts w:asciiTheme="majorHAnsi" w:hAnsiTheme="majorHAnsi"/>
          <w:sz w:val="24"/>
          <w:szCs w:val="24"/>
          <w:lang w:val="de-DE"/>
        </w:rPr>
        <w:t>men für ihre Bachelor-Arbeit zu identifizieren.</w:t>
      </w:r>
      <w:r w:rsidR="00B37FC7">
        <w:rPr>
          <w:rFonts w:asciiTheme="majorHAnsi" w:hAnsiTheme="majorHAnsi"/>
          <w:sz w:val="24"/>
          <w:szCs w:val="24"/>
          <w:lang w:val="de-DE"/>
        </w:rPr>
        <w:t xml:space="preserve"> Auch hierzu werden die Einzelheiten im Kick-off Meeting besprochen.</w:t>
      </w:r>
    </w:p>
    <w:p w14:paraId="6C626B12" w14:textId="378B7234" w:rsidR="005A6267" w:rsidRDefault="00181126" w:rsidP="00B37FC7">
      <w:pPr>
        <w:spacing w:line="276" w:lineRule="auto"/>
        <w:jc w:val="both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Die Teilnahme am Seminar wird letztendlich wie folgt bewertet:</w:t>
      </w:r>
    </w:p>
    <w:p w14:paraId="17050B33" w14:textId="18B59D0F" w:rsidR="00181126" w:rsidRDefault="00181126" w:rsidP="00B37FC7">
      <w:pPr>
        <w:spacing w:line="276" w:lineRule="auto"/>
        <w:ind w:left="908" w:hanging="454"/>
        <w:jc w:val="both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– </w:t>
      </w:r>
      <w:r>
        <w:rPr>
          <w:rFonts w:asciiTheme="majorHAnsi" w:hAnsiTheme="majorHAnsi"/>
          <w:sz w:val="24"/>
          <w:szCs w:val="24"/>
          <w:lang w:val="de-DE"/>
        </w:rPr>
        <w:tab/>
        <w:t>P</w:t>
      </w:r>
      <w:r w:rsidR="008C41BD">
        <w:rPr>
          <w:rFonts w:asciiTheme="majorHAnsi" w:hAnsiTheme="majorHAnsi"/>
          <w:sz w:val="24"/>
          <w:szCs w:val="24"/>
          <w:lang w:val="de-DE"/>
        </w:rPr>
        <w:t>räsentation und Seminararbeit: 8</w:t>
      </w:r>
      <w:r>
        <w:rPr>
          <w:rFonts w:asciiTheme="majorHAnsi" w:hAnsiTheme="majorHAnsi"/>
          <w:sz w:val="24"/>
          <w:szCs w:val="24"/>
          <w:lang w:val="de-DE"/>
        </w:rPr>
        <w:t>0%</w:t>
      </w:r>
    </w:p>
    <w:p w14:paraId="2D9E15F7" w14:textId="77777777" w:rsidR="008C41BD" w:rsidRDefault="008C41BD" w:rsidP="008C41BD">
      <w:pPr>
        <w:spacing w:line="276" w:lineRule="auto"/>
        <w:ind w:left="908" w:hanging="454"/>
        <w:jc w:val="both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– </w:t>
      </w:r>
      <w:r>
        <w:rPr>
          <w:rFonts w:asciiTheme="majorHAnsi" w:hAnsiTheme="majorHAnsi"/>
          <w:sz w:val="24"/>
          <w:szCs w:val="24"/>
          <w:lang w:val="de-DE"/>
        </w:rPr>
        <w:tab/>
        <w:t>Ideen-Protokoll: 2</w:t>
      </w:r>
      <w:r w:rsidR="00181126">
        <w:rPr>
          <w:rFonts w:asciiTheme="majorHAnsi" w:hAnsiTheme="majorHAnsi"/>
          <w:sz w:val="24"/>
          <w:szCs w:val="24"/>
          <w:lang w:val="de-DE"/>
        </w:rPr>
        <w:t>0%</w:t>
      </w:r>
    </w:p>
    <w:p w14:paraId="5DA0A9BE" w14:textId="527B3D7F" w:rsidR="00E1751D" w:rsidRPr="00B37FC7" w:rsidRDefault="008C41BD" w:rsidP="008C41BD">
      <w:pPr>
        <w:spacing w:line="276" w:lineRule="auto"/>
        <w:ind w:left="908" w:hanging="454"/>
        <w:jc w:val="both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– </w:t>
      </w:r>
      <w:r>
        <w:rPr>
          <w:rFonts w:asciiTheme="majorHAnsi" w:hAnsiTheme="majorHAnsi"/>
          <w:sz w:val="24"/>
          <w:szCs w:val="24"/>
          <w:lang w:val="de-DE"/>
        </w:rPr>
        <w:tab/>
        <w:t>Bonuspunkte für aktive Teilnahme an den einzelnen Seminarterminen</w:t>
      </w:r>
    </w:p>
    <w:sectPr w:rsidR="00E1751D" w:rsidRPr="00B37FC7" w:rsidSect="00E77684">
      <w:headerReference w:type="first" r:id="rId8"/>
      <w:pgSz w:w="11900" w:h="16840"/>
      <w:pgMar w:top="1440" w:right="1418" w:bottom="1440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37C5" w14:textId="77777777" w:rsidR="0037247D" w:rsidRDefault="0037247D" w:rsidP="007E5C87">
      <w:r>
        <w:separator/>
      </w:r>
    </w:p>
  </w:endnote>
  <w:endnote w:type="continuationSeparator" w:id="0">
    <w:p w14:paraId="403023FD" w14:textId="77777777" w:rsidR="0037247D" w:rsidRDefault="0037247D" w:rsidP="007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CE 45 Light">
    <w:altName w:val="微软雅黑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AFF0" w14:textId="77777777" w:rsidR="0037247D" w:rsidRDefault="0037247D" w:rsidP="007E5C87">
      <w:r>
        <w:separator/>
      </w:r>
    </w:p>
  </w:footnote>
  <w:footnote w:type="continuationSeparator" w:id="0">
    <w:p w14:paraId="2A8F4E0A" w14:textId="77777777" w:rsidR="0037247D" w:rsidRDefault="0037247D" w:rsidP="007E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9DC5" w14:textId="77777777" w:rsidR="005B10FE" w:rsidRPr="00C4510F" w:rsidRDefault="005B10FE" w:rsidP="00E77684">
    <w:pPr>
      <w:spacing w:before="240" w:after="80" w:line="288" w:lineRule="auto"/>
      <w:ind w:left="-142" w:right="-992"/>
      <w:rPr>
        <w:rFonts w:asciiTheme="majorHAnsi" w:hAnsiTheme="majorHAnsi"/>
        <w:b/>
        <w:color w:val="4A657D"/>
        <w:sz w:val="32"/>
        <w:szCs w:val="32"/>
        <w:lang w:val="de-DE"/>
      </w:rPr>
    </w:pPr>
    <w:r w:rsidRPr="00C4510F">
      <w:rPr>
        <w:rFonts w:asciiTheme="majorHAnsi" w:hAnsiTheme="majorHAnsi"/>
        <w:b/>
        <w:noProof/>
        <w:color w:val="4A657D"/>
        <w:sz w:val="32"/>
        <w:szCs w:val="32"/>
        <w:lang w:val="de-DE" w:eastAsia="zh-CN"/>
      </w:rPr>
      <w:drawing>
        <wp:anchor distT="0" distB="0" distL="114300" distR="114300" simplePos="0" relativeHeight="251659264" behindDoc="1" locked="0" layoutInCell="1" allowOverlap="1" wp14:anchorId="51A334E1" wp14:editId="7D308DC7">
          <wp:simplePos x="0" y="0"/>
          <wp:positionH relativeFrom="column">
            <wp:posOffset>5257800</wp:posOffset>
          </wp:positionH>
          <wp:positionV relativeFrom="page">
            <wp:posOffset>342900</wp:posOffset>
          </wp:positionV>
          <wp:extent cx="1084212" cy="1080000"/>
          <wp:effectExtent l="0" t="0" r="825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r_Siegel_der_Universität_zu_Köl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212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10F">
      <w:rPr>
        <w:rFonts w:asciiTheme="majorHAnsi" w:hAnsiTheme="majorHAnsi"/>
        <w:b/>
        <w:color w:val="4A657D"/>
        <w:sz w:val="32"/>
        <w:szCs w:val="32"/>
        <w:lang w:val="de-DE"/>
      </w:rPr>
      <w:t>Universit</w:t>
    </w:r>
    <w:r w:rsidRPr="00C4510F">
      <w:rPr>
        <w:rFonts w:ascii="Calibri" w:hAnsi="Calibri"/>
        <w:b/>
        <w:color w:val="4A657D"/>
        <w:sz w:val="32"/>
        <w:szCs w:val="32"/>
        <w:lang w:val="de-DE"/>
      </w:rPr>
      <w:t>ä</w:t>
    </w:r>
    <w:r w:rsidRPr="00C4510F">
      <w:rPr>
        <w:rFonts w:asciiTheme="majorHAnsi" w:hAnsiTheme="majorHAnsi"/>
        <w:b/>
        <w:color w:val="4A657D"/>
        <w:sz w:val="32"/>
        <w:szCs w:val="32"/>
        <w:lang w:val="de-DE"/>
      </w:rPr>
      <w:t>t zu K</w:t>
    </w:r>
    <w:r w:rsidRPr="00C4510F">
      <w:rPr>
        <w:rFonts w:ascii="Calibri" w:hAnsi="Calibri"/>
        <w:b/>
        <w:color w:val="4A657D"/>
        <w:sz w:val="32"/>
        <w:szCs w:val="32"/>
        <w:lang w:val="de-DE"/>
      </w:rPr>
      <w:t>ö</w:t>
    </w:r>
    <w:r w:rsidRPr="00C4510F">
      <w:rPr>
        <w:rFonts w:asciiTheme="majorHAnsi" w:hAnsiTheme="majorHAnsi"/>
        <w:b/>
        <w:color w:val="4A657D"/>
        <w:sz w:val="32"/>
        <w:szCs w:val="32"/>
        <w:lang w:val="de-DE"/>
      </w:rPr>
      <w:t>ln</w:t>
    </w:r>
  </w:p>
  <w:p w14:paraId="688A773D" w14:textId="77777777" w:rsidR="005B10FE" w:rsidRPr="00E77684" w:rsidRDefault="005B10FE" w:rsidP="0049328C">
    <w:pPr>
      <w:spacing w:line="264" w:lineRule="auto"/>
      <w:ind w:left="-142" w:right="-992"/>
      <w:rPr>
        <w:rFonts w:asciiTheme="majorHAnsi" w:hAnsiTheme="majorHAnsi"/>
        <w:color w:val="4A657D"/>
        <w:sz w:val="26"/>
        <w:szCs w:val="26"/>
        <w:lang w:val="de-DE"/>
      </w:rPr>
    </w:pPr>
    <w:r w:rsidRPr="00E77684">
      <w:rPr>
        <w:rFonts w:asciiTheme="majorHAnsi" w:hAnsiTheme="majorHAnsi"/>
        <w:color w:val="4A657D"/>
        <w:sz w:val="26"/>
        <w:szCs w:val="26"/>
        <w:lang w:val="de-DE"/>
      </w:rPr>
      <w:t>Wirtschafts- und Sozialwissenschaftliche Fakult</w:t>
    </w:r>
    <w:r w:rsidRPr="00E77684">
      <w:rPr>
        <w:rFonts w:ascii="Calibri" w:hAnsi="Calibri"/>
        <w:color w:val="4A657D"/>
        <w:sz w:val="26"/>
        <w:szCs w:val="26"/>
        <w:lang w:val="de-DE"/>
      </w:rPr>
      <w:t>ä</w:t>
    </w:r>
    <w:r w:rsidRPr="00E77684">
      <w:rPr>
        <w:rFonts w:asciiTheme="majorHAnsi" w:hAnsiTheme="majorHAnsi"/>
        <w:color w:val="4A657D"/>
        <w:sz w:val="26"/>
        <w:szCs w:val="26"/>
        <w:lang w:val="de-DE"/>
      </w:rPr>
      <w:t>t</w:t>
    </w:r>
  </w:p>
  <w:p w14:paraId="6BC62CDE" w14:textId="0F54F079" w:rsidR="005B10FE" w:rsidRPr="00E77684" w:rsidRDefault="005B10FE" w:rsidP="0049328C">
    <w:pPr>
      <w:pStyle w:val="Kopfzeile"/>
      <w:tabs>
        <w:tab w:val="clear" w:pos="4320"/>
        <w:tab w:val="clear" w:pos="8640"/>
      </w:tabs>
      <w:ind w:left="-142" w:right="-992"/>
      <w:rPr>
        <w:color w:val="4A657D"/>
        <w:lang w:val="de-DE"/>
      </w:rPr>
    </w:pPr>
    <w:r w:rsidRPr="00E77684">
      <w:rPr>
        <w:rFonts w:asciiTheme="majorHAnsi" w:hAnsiTheme="majorHAnsi"/>
        <w:color w:val="4A657D"/>
        <w:sz w:val="20"/>
        <w:szCs w:val="20"/>
        <w:lang w:val="de-DE"/>
      </w:rPr>
      <w:t>Seminar f</w:t>
    </w:r>
    <w:r w:rsidRPr="00E77684">
      <w:rPr>
        <w:rFonts w:ascii="Calibri" w:hAnsi="Calibri"/>
        <w:color w:val="4A657D"/>
        <w:sz w:val="20"/>
        <w:szCs w:val="20"/>
        <w:lang w:val="de-DE"/>
      </w:rPr>
      <w:t>ü</w:t>
    </w:r>
    <w:r w:rsidRPr="00E77684">
      <w:rPr>
        <w:rFonts w:asciiTheme="majorHAnsi" w:hAnsiTheme="majorHAnsi"/>
        <w:color w:val="4A657D"/>
        <w:sz w:val="20"/>
        <w:szCs w:val="20"/>
        <w:lang w:val="de-DE"/>
      </w:rPr>
      <w:t>r Allgemeine Betriebswirtschaftslehre, Unternehmensentwicklung und Wirtschaftseth</w:t>
    </w:r>
    <w:r>
      <w:rPr>
        <w:rFonts w:asciiTheme="majorHAnsi" w:hAnsiTheme="majorHAnsi"/>
        <w:color w:val="4A657D"/>
        <w:sz w:val="20"/>
        <w:szCs w:val="20"/>
        <w:lang w:val="de-DE"/>
      </w:rPr>
      <w:t>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86B"/>
    <w:multiLevelType w:val="multilevel"/>
    <w:tmpl w:val="FEB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87"/>
    <w:rsid w:val="00035BBB"/>
    <w:rsid w:val="00090053"/>
    <w:rsid w:val="000956E5"/>
    <w:rsid w:val="000A3297"/>
    <w:rsid w:val="000B7DC6"/>
    <w:rsid w:val="00181126"/>
    <w:rsid w:val="001B4B8F"/>
    <w:rsid w:val="001D28D4"/>
    <w:rsid w:val="00250DC1"/>
    <w:rsid w:val="002D5BCB"/>
    <w:rsid w:val="00336FA5"/>
    <w:rsid w:val="0037247D"/>
    <w:rsid w:val="00376618"/>
    <w:rsid w:val="003D3D4A"/>
    <w:rsid w:val="003F0D9F"/>
    <w:rsid w:val="003F3A18"/>
    <w:rsid w:val="00472848"/>
    <w:rsid w:val="0049328C"/>
    <w:rsid w:val="004C3484"/>
    <w:rsid w:val="005234C2"/>
    <w:rsid w:val="00527DD5"/>
    <w:rsid w:val="00544451"/>
    <w:rsid w:val="005A6267"/>
    <w:rsid w:val="005B10FE"/>
    <w:rsid w:val="005E79B5"/>
    <w:rsid w:val="0062458A"/>
    <w:rsid w:val="0062794C"/>
    <w:rsid w:val="0063226B"/>
    <w:rsid w:val="006427AD"/>
    <w:rsid w:val="006D54AE"/>
    <w:rsid w:val="006D7E17"/>
    <w:rsid w:val="00717666"/>
    <w:rsid w:val="00727A62"/>
    <w:rsid w:val="007605A8"/>
    <w:rsid w:val="007A020A"/>
    <w:rsid w:val="007B21B5"/>
    <w:rsid w:val="007E5C87"/>
    <w:rsid w:val="007E661C"/>
    <w:rsid w:val="007F5E75"/>
    <w:rsid w:val="00804696"/>
    <w:rsid w:val="00816B8C"/>
    <w:rsid w:val="008C41BD"/>
    <w:rsid w:val="008F6D39"/>
    <w:rsid w:val="0097379D"/>
    <w:rsid w:val="009809BA"/>
    <w:rsid w:val="009A35D0"/>
    <w:rsid w:val="009E55C4"/>
    <w:rsid w:val="00A011DB"/>
    <w:rsid w:val="00A113D5"/>
    <w:rsid w:val="00A36448"/>
    <w:rsid w:val="00A625D1"/>
    <w:rsid w:val="00A966C0"/>
    <w:rsid w:val="00AC2449"/>
    <w:rsid w:val="00AF158A"/>
    <w:rsid w:val="00B0001A"/>
    <w:rsid w:val="00B37FC7"/>
    <w:rsid w:val="00BA704E"/>
    <w:rsid w:val="00BC59A4"/>
    <w:rsid w:val="00C4510F"/>
    <w:rsid w:val="00DF4F1F"/>
    <w:rsid w:val="00E145F8"/>
    <w:rsid w:val="00E1751D"/>
    <w:rsid w:val="00E17DE9"/>
    <w:rsid w:val="00E77684"/>
    <w:rsid w:val="00EC361D"/>
    <w:rsid w:val="00F4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7AB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CE 45 Light" w:eastAsiaTheme="minorEastAsia" w:hAnsi="Frutiger CE 45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B4B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C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C87"/>
  </w:style>
  <w:style w:type="paragraph" w:styleId="Fuzeile">
    <w:name w:val="footer"/>
    <w:basedOn w:val="Standard"/>
    <w:link w:val="FuzeileZchn"/>
    <w:uiPriority w:val="99"/>
    <w:unhideWhenUsed/>
    <w:rsid w:val="007E5C8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C87"/>
  </w:style>
  <w:style w:type="paragraph" w:styleId="Listenabsatz">
    <w:name w:val="List Paragraph"/>
    <w:basedOn w:val="Standard"/>
    <w:uiPriority w:val="34"/>
    <w:qFormat/>
    <w:rsid w:val="00816B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5BC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76618"/>
  </w:style>
  <w:style w:type="character" w:customStyle="1" w:styleId="berschrift1Zchn">
    <w:name w:val="Überschrift 1 Zchn"/>
    <w:basedOn w:val="Absatz-Standardschriftart"/>
    <w:link w:val="berschrift1"/>
    <w:uiPriority w:val="9"/>
    <w:rsid w:val="001B4B8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CE 45 Light" w:eastAsiaTheme="minorEastAsia" w:hAnsi="Frutiger CE 45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B4B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5C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C87"/>
  </w:style>
  <w:style w:type="paragraph" w:styleId="Fuzeile">
    <w:name w:val="footer"/>
    <w:basedOn w:val="Standard"/>
    <w:link w:val="FuzeileZchn"/>
    <w:uiPriority w:val="99"/>
    <w:unhideWhenUsed/>
    <w:rsid w:val="007E5C8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C87"/>
  </w:style>
  <w:style w:type="paragraph" w:styleId="Listenabsatz">
    <w:name w:val="List Paragraph"/>
    <w:basedOn w:val="Standard"/>
    <w:uiPriority w:val="34"/>
    <w:qFormat/>
    <w:rsid w:val="00816B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5BC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76618"/>
  </w:style>
  <w:style w:type="character" w:customStyle="1" w:styleId="berschrift1Zchn">
    <w:name w:val="Überschrift 1 Zchn"/>
    <w:basedOn w:val="Absatz-Standardschriftart"/>
    <w:link w:val="berschrift1"/>
    <w:uiPriority w:val="9"/>
    <w:rsid w:val="001B4B8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Hoeppner</dc:creator>
  <cp:lastModifiedBy>Mehl, Johannes Gregor</cp:lastModifiedBy>
  <cp:revision>8</cp:revision>
  <dcterms:created xsi:type="dcterms:W3CDTF">2016-04-13T09:50:00Z</dcterms:created>
  <dcterms:modified xsi:type="dcterms:W3CDTF">2016-05-09T12:01:00Z</dcterms:modified>
</cp:coreProperties>
</file>